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2566" w14:textId="77777777" w:rsidR="003139EC" w:rsidRDefault="003139EC">
      <w:pPr>
        <w:jc w:val="both"/>
        <w:rPr>
          <w:rFonts w:ascii="Arial" w:hAnsi="Arial"/>
          <w:sz w:val="24"/>
        </w:rPr>
      </w:pPr>
    </w:p>
    <w:p w14:paraId="4494B875" w14:textId="77777777" w:rsidR="003139EC" w:rsidRPr="002C7CAB" w:rsidRDefault="00000000">
      <w:pPr>
        <w:ind w:firstLine="4253"/>
        <w:jc w:val="right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Приложение № 2</w:t>
      </w:r>
    </w:p>
    <w:p w14:paraId="18754AD4" w14:textId="77777777" w:rsidR="003139EC" w:rsidRPr="002C7CAB" w:rsidRDefault="00000000">
      <w:pPr>
        <w:pStyle w:val="ConsPlusNormal"/>
        <w:ind w:firstLine="4253"/>
        <w:jc w:val="right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к Порядку проведения мониторинга </w:t>
      </w:r>
    </w:p>
    <w:p w14:paraId="66C47730" w14:textId="77777777" w:rsidR="003139EC" w:rsidRPr="002C7CAB" w:rsidRDefault="00000000">
      <w:pPr>
        <w:pStyle w:val="ConsPlusNormal"/>
        <w:ind w:firstLine="4253"/>
        <w:jc w:val="right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качества финансового менеджмента </w:t>
      </w:r>
    </w:p>
    <w:p w14:paraId="1A1D53EB" w14:textId="77777777" w:rsidR="003139EC" w:rsidRPr="002C7CAB" w:rsidRDefault="00000000">
      <w:pPr>
        <w:pStyle w:val="ConsPlusNormal"/>
        <w:ind w:firstLine="4253"/>
        <w:jc w:val="right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в отношении главных администраторов </w:t>
      </w:r>
    </w:p>
    <w:p w14:paraId="72290BED" w14:textId="2496BA32" w:rsidR="003139EC" w:rsidRPr="002C7CAB" w:rsidRDefault="00000000">
      <w:pPr>
        <w:pStyle w:val="ConsPlusNormal"/>
        <w:ind w:left="3540" w:firstLine="713"/>
        <w:jc w:val="right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    средств бюджета </w:t>
      </w:r>
      <w:r w:rsidRPr="002C7CAB">
        <w:rPr>
          <w:rFonts w:ascii="Arial" w:hAnsi="Arial"/>
          <w:color w:val="auto"/>
          <w:spacing w:val="-1"/>
          <w:sz w:val="24"/>
        </w:rPr>
        <w:t>муниципального образования «</w:t>
      </w:r>
      <w:proofErr w:type="spellStart"/>
      <w:r w:rsidR="00201BDC" w:rsidRPr="002C7CAB">
        <w:rPr>
          <w:rFonts w:ascii="Arial" w:hAnsi="Arial"/>
          <w:color w:val="auto"/>
          <w:spacing w:val="-1"/>
          <w:sz w:val="24"/>
        </w:rPr>
        <w:t>Верхнелюбажский</w:t>
      </w:r>
      <w:proofErr w:type="spellEnd"/>
      <w:r w:rsidRPr="002C7CAB">
        <w:rPr>
          <w:rFonts w:ascii="Arial" w:hAnsi="Arial"/>
          <w:color w:val="auto"/>
          <w:spacing w:val="-1"/>
          <w:sz w:val="24"/>
        </w:rPr>
        <w:t xml:space="preserve"> сельсовет» Фатежского района Курской области</w:t>
      </w:r>
    </w:p>
    <w:p w14:paraId="2BBB6DB9" w14:textId="77777777" w:rsidR="003139EC" w:rsidRPr="002C7CAB" w:rsidRDefault="003139EC">
      <w:pPr>
        <w:pStyle w:val="ConsPlusNormal"/>
        <w:jc w:val="right"/>
        <w:rPr>
          <w:rFonts w:ascii="Arial" w:hAnsi="Arial"/>
          <w:color w:val="auto"/>
          <w:sz w:val="24"/>
        </w:rPr>
      </w:pPr>
    </w:p>
    <w:p w14:paraId="506D17F7" w14:textId="77777777" w:rsidR="003139EC" w:rsidRPr="002C7CAB" w:rsidRDefault="00000000">
      <w:pPr>
        <w:pStyle w:val="ConsPlusNormal"/>
        <w:contextualSpacing/>
        <w:jc w:val="center"/>
        <w:rPr>
          <w:rFonts w:ascii="Arial" w:hAnsi="Arial"/>
          <w:b/>
          <w:color w:val="auto"/>
          <w:sz w:val="24"/>
        </w:rPr>
      </w:pPr>
      <w:bookmarkStart w:id="0" w:name="P423"/>
      <w:bookmarkEnd w:id="0"/>
      <w:r w:rsidRPr="002C7CAB">
        <w:rPr>
          <w:rFonts w:ascii="Arial" w:hAnsi="Arial"/>
          <w:b/>
          <w:color w:val="auto"/>
          <w:sz w:val="24"/>
        </w:rPr>
        <w:t>Сведения,</w:t>
      </w:r>
    </w:p>
    <w:p w14:paraId="043D3CB2" w14:textId="77777777" w:rsidR="003139EC" w:rsidRPr="002C7CAB" w:rsidRDefault="00000000">
      <w:pPr>
        <w:pStyle w:val="ConsPlusNormal"/>
        <w:contextualSpacing/>
        <w:jc w:val="center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используемые для расчета показателей качества финансового</w:t>
      </w:r>
    </w:p>
    <w:p w14:paraId="3C4E2399" w14:textId="77777777" w:rsidR="003139EC" w:rsidRPr="002C7CAB" w:rsidRDefault="00000000">
      <w:pPr>
        <w:pStyle w:val="ConsPlusNormal"/>
        <w:contextualSpacing/>
        <w:jc w:val="center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менеджмента, осуществляемого главными администраторами</w:t>
      </w:r>
    </w:p>
    <w:p w14:paraId="1CB8817F" w14:textId="136333AA" w:rsidR="003139EC" w:rsidRPr="002C7CAB" w:rsidRDefault="00000000">
      <w:pPr>
        <w:pStyle w:val="ConsPlusNormal"/>
        <w:contextualSpacing/>
        <w:jc w:val="center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бюджетных средств </w:t>
      </w:r>
      <w:r w:rsidRPr="002C7CAB">
        <w:rPr>
          <w:rFonts w:ascii="Arial" w:hAnsi="Arial"/>
          <w:color w:val="auto"/>
          <w:spacing w:val="-1"/>
          <w:sz w:val="24"/>
        </w:rPr>
        <w:t>муниципального образования «</w:t>
      </w:r>
      <w:proofErr w:type="spellStart"/>
      <w:r w:rsidR="00201BDC" w:rsidRPr="002C7CAB">
        <w:rPr>
          <w:rFonts w:ascii="Arial" w:hAnsi="Arial"/>
          <w:color w:val="auto"/>
          <w:spacing w:val="-1"/>
          <w:sz w:val="24"/>
        </w:rPr>
        <w:t>Верхнелюбажский</w:t>
      </w:r>
      <w:proofErr w:type="spellEnd"/>
      <w:r w:rsidRPr="002C7CAB">
        <w:rPr>
          <w:rFonts w:ascii="Arial" w:hAnsi="Arial"/>
          <w:color w:val="auto"/>
          <w:spacing w:val="-1"/>
          <w:sz w:val="24"/>
        </w:rPr>
        <w:t xml:space="preserve"> сельсовет» Фатежского района Курской области</w:t>
      </w:r>
    </w:p>
    <w:p w14:paraId="6D4CA19A" w14:textId="55765DB2" w:rsidR="003139EC" w:rsidRPr="002C7CAB" w:rsidRDefault="00000000">
      <w:pPr>
        <w:pStyle w:val="ConsPlusNormal"/>
        <w:contextualSpacing/>
        <w:jc w:val="center"/>
        <w:rPr>
          <w:rFonts w:ascii="Arial" w:hAnsi="Arial"/>
          <w:b/>
          <w:color w:val="auto"/>
          <w:u w:val="single"/>
        </w:rPr>
      </w:pPr>
      <w:r w:rsidRPr="002C7CAB">
        <w:rPr>
          <w:rFonts w:ascii="Times New Roman" w:hAnsi="Times New Roman"/>
          <w:b/>
          <w:color w:val="auto"/>
          <w:u w:val="single"/>
        </w:rPr>
        <w:t xml:space="preserve">АДМИНИСТРАЦИЯ </w:t>
      </w:r>
      <w:r w:rsidR="00201BDC" w:rsidRPr="002C7CAB">
        <w:rPr>
          <w:rFonts w:ascii="Times New Roman" w:hAnsi="Times New Roman"/>
          <w:b/>
          <w:color w:val="auto"/>
          <w:u w:val="single"/>
        </w:rPr>
        <w:t>ВЕРХНЕЛЮБАЖСКОГО</w:t>
      </w:r>
      <w:r w:rsidRPr="002C7CAB">
        <w:rPr>
          <w:rFonts w:ascii="Times New Roman" w:hAnsi="Times New Roman"/>
          <w:b/>
          <w:color w:val="auto"/>
          <w:u w:val="single"/>
        </w:rPr>
        <w:t xml:space="preserve"> СЕЛЬСОВЕТА ФАТЕЖСКОГО РАЙОНА</w:t>
      </w:r>
    </w:p>
    <w:p w14:paraId="2FE08130" w14:textId="35B2DCA4" w:rsidR="003139EC" w:rsidRPr="002C7CAB" w:rsidRDefault="00000000">
      <w:pPr>
        <w:pStyle w:val="ConsPlusNormal"/>
        <w:contextualSpacing/>
        <w:jc w:val="center"/>
        <w:rPr>
          <w:rFonts w:ascii="Arial" w:hAnsi="Arial"/>
          <w:color w:val="auto"/>
          <w:sz w:val="16"/>
        </w:rPr>
      </w:pPr>
      <w:r w:rsidRPr="002C7CAB">
        <w:rPr>
          <w:rFonts w:ascii="Arial" w:hAnsi="Arial"/>
          <w:color w:val="auto"/>
          <w:sz w:val="16"/>
        </w:rPr>
        <w:t xml:space="preserve">наименование ГАБС </w:t>
      </w:r>
      <w:proofErr w:type="spellStart"/>
      <w:r w:rsidR="00201BDC" w:rsidRPr="002C7CAB">
        <w:rPr>
          <w:rFonts w:ascii="Arial" w:hAnsi="Arial"/>
          <w:color w:val="auto"/>
          <w:sz w:val="16"/>
        </w:rPr>
        <w:t>Верхнелюбажского</w:t>
      </w:r>
      <w:proofErr w:type="spellEnd"/>
      <w:r w:rsidRPr="002C7CAB">
        <w:rPr>
          <w:rFonts w:ascii="Arial" w:hAnsi="Arial"/>
          <w:color w:val="auto"/>
          <w:sz w:val="16"/>
        </w:rPr>
        <w:t xml:space="preserve"> </w:t>
      </w:r>
      <w:proofErr w:type="gramStart"/>
      <w:r w:rsidRPr="002C7CAB">
        <w:rPr>
          <w:rFonts w:ascii="Arial" w:hAnsi="Arial"/>
          <w:color w:val="auto"/>
          <w:sz w:val="16"/>
        </w:rPr>
        <w:t>сельсовета  Фатежского</w:t>
      </w:r>
      <w:proofErr w:type="gramEnd"/>
      <w:r w:rsidRPr="002C7CAB">
        <w:rPr>
          <w:rFonts w:ascii="Arial" w:hAnsi="Arial"/>
          <w:color w:val="auto"/>
          <w:sz w:val="16"/>
        </w:rPr>
        <w:t xml:space="preserve"> района </w:t>
      </w:r>
    </w:p>
    <w:p w14:paraId="52C8EC2C" w14:textId="77777777" w:rsidR="003139EC" w:rsidRPr="002C7CAB" w:rsidRDefault="003139EC">
      <w:pPr>
        <w:pStyle w:val="ConsPlusNormal"/>
        <w:ind w:firstLine="540"/>
        <w:contextualSpacing/>
        <w:jc w:val="both"/>
        <w:rPr>
          <w:rFonts w:ascii="Arial" w:hAnsi="Arial"/>
          <w:color w:val="auto"/>
          <w:sz w:val="24"/>
        </w:rPr>
      </w:pPr>
    </w:p>
    <w:p w14:paraId="011936BE" w14:textId="790D027E" w:rsidR="003139EC" w:rsidRPr="002C7CAB" w:rsidRDefault="00000000">
      <w:pPr>
        <w:pStyle w:val="ConsPlusNormal"/>
        <w:ind w:firstLine="540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Периодичность: годовая </w:t>
      </w:r>
      <w:proofErr w:type="gramStart"/>
      <w:r w:rsidRPr="002C7CAB">
        <w:rPr>
          <w:rFonts w:ascii="Arial" w:hAnsi="Arial"/>
          <w:color w:val="auto"/>
          <w:sz w:val="24"/>
        </w:rPr>
        <w:t>на  31.12.</w:t>
      </w:r>
      <w:proofErr w:type="gramEnd"/>
      <w:r w:rsidRPr="002C7CAB">
        <w:rPr>
          <w:rFonts w:ascii="Arial" w:hAnsi="Arial"/>
          <w:color w:val="auto"/>
          <w:sz w:val="24"/>
        </w:rPr>
        <w:t xml:space="preserve"> 202</w:t>
      </w:r>
      <w:r w:rsidR="0068174F" w:rsidRPr="002C7CAB">
        <w:rPr>
          <w:rFonts w:ascii="Arial" w:hAnsi="Arial"/>
          <w:color w:val="auto"/>
          <w:sz w:val="24"/>
        </w:rPr>
        <w:t>4</w:t>
      </w:r>
      <w:r w:rsidRPr="002C7CAB">
        <w:rPr>
          <w:rFonts w:ascii="Arial" w:hAnsi="Arial"/>
          <w:color w:val="auto"/>
          <w:sz w:val="24"/>
        </w:rPr>
        <w:t xml:space="preserve"> г.</w:t>
      </w:r>
    </w:p>
    <w:p w14:paraId="3F55D9EF" w14:textId="6E77C45D" w:rsidR="003139EC" w:rsidRPr="002C7CAB" w:rsidRDefault="00000000">
      <w:pPr>
        <w:pStyle w:val="ConsPlusNormal"/>
        <w:ind w:firstLine="540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Наличие (отсутствие) муниципальных учреждений </w:t>
      </w:r>
      <w:r w:rsidR="0068174F" w:rsidRPr="002C7CAB">
        <w:rPr>
          <w:rFonts w:ascii="Arial" w:hAnsi="Arial"/>
          <w:color w:val="auto"/>
          <w:sz w:val="24"/>
        </w:rPr>
        <w:t>1</w:t>
      </w:r>
      <w:r w:rsidRPr="002C7CAB">
        <w:rPr>
          <w:rFonts w:ascii="Arial" w:hAnsi="Arial"/>
          <w:color w:val="auto"/>
          <w:sz w:val="24"/>
        </w:rPr>
        <w:t xml:space="preserve"> (количество), в том </w:t>
      </w:r>
      <w:proofErr w:type="gramStart"/>
      <w:r w:rsidRPr="002C7CAB">
        <w:rPr>
          <w:rFonts w:ascii="Arial" w:hAnsi="Arial"/>
          <w:color w:val="auto"/>
          <w:sz w:val="24"/>
        </w:rPr>
        <w:t xml:space="preserve">числе:   </w:t>
      </w:r>
      <w:proofErr w:type="gramEnd"/>
      <w:r w:rsidRPr="002C7CAB">
        <w:rPr>
          <w:rFonts w:ascii="Arial" w:hAnsi="Arial"/>
          <w:color w:val="auto"/>
          <w:sz w:val="24"/>
        </w:rPr>
        <w:t xml:space="preserve">  казенных </w:t>
      </w:r>
      <w:r w:rsidR="0068174F" w:rsidRPr="002C7CAB">
        <w:rPr>
          <w:rFonts w:ascii="Arial" w:hAnsi="Arial"/>
          <w:color w:val="auto"/>
          <w:sz w:val="24"/>
        </w:rPr>
        <w:t>0</w:t>
      </w:r>
      <w:r w:rsidRPr="002C7CAB">
        <w:rPr>
          <w:rFonts w:ascii="Arial" w:hAnsi="Arial"/>
          <w:color w:val="auto"/>
          <w:sz w:val="24"/>
        </w:rPr>
        <w:t xml:space="preserve"> (количество),</w:t>
      </w:r>
    </w:p>
    <w:p w14:paraId="5B968788" w14:textId="77777777" w:rsidR="003139EC" w:rsidRPr="002C7CAB" w:rsidRDefault="00000000">
      <w:pPr>
        <w:pStyle w:val="ConsPlusNormal"/>
        <w:ind w:firstLine="540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бюджетных1 (количество),</w:t>
      </w:r>
    </w:p>
    <w:p w14:paraId="38DA4C51" w14:textId="77777777" w:rsidR="003139EC" w:rsidRPr="002C7CAB" w:rsidRDefault="00000000">
      <w:pPr>
        <w:pStyle w:val="ConsPlusNormal"/>
        <w:ind w:firstLine="540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автономных 0 (количество).</w:t>
      </w:r>
    </w:p>
    <w:p w14:paraId="29AE8616" w14:textId="77777777" w:rsidR="003139EC" w:rsidRPr="002C7CAB" w:rsidRDefault="003139EC">
      <w:pPr>
        <w:pStyle w:val="ConsPlusNormal"/>
        <w:jc w:val="center"/>
        <w:outlineLvl w:val="2"/>
        <w:rPr>
          <w:rFonts w:ascii="Arial" w:hAnsi="Arial"/>
          <w:color w:val="auto"/>
          <w:sz w:val="24"/>
        </w:rPr>
      </w:pPr>
    </w:p>
    <w:p w14:paraId="275AB87C" w14:textId="77777777" w:rsidR="003139EC" w:rsidRPr="002C7CAB" w:rsidRDefault="00000000">
      <w:pPr>
        <w:pStyle w:val="ConsPlusNormal"/>
        <w:jc w:val="center"/>
        <w:outlineLvl w:val="2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1. Финансовое планирование</w:t>
      </w:r>
    </w:p>
    <w:p w14:paraId="5E643341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1" w:name="P441"/>
      <w:bookmarkEnd w:id="1"/>
    </w:p>
    <w:p w14:paraId="450F2605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1.1. Полнота информации о расходных обязательствах:</w:t>
      </w:r>
    </w:p>
    <w:p w14:paraId="71326CBF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0"/>
        <w:gridCol w:w="3368"/>
        <w:gridCol w:w="2980"/>
      </w:tblGrid>
      <w:tr w:rsidR="003139EC" w:rsidRPr="002C7CAB" w14:paraId="0B17B19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E0E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B187E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78F6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полнота информации о расходных обязательствах (Про), %.</w:t>
            </w:r>
          </w:p>
          <w:p w14:paraId="7A758FB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(100 x (гр1 / гр2))</w:t>
            </w:r>
          </w:p>
        </w:tc>
      </w:tr>
      <w:tr w:rsidR="003139EC" w:rsidRPr="002C7CAB" w14:paraId="18005BF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460E5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5FAC5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23FA4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3139EC" w:rsidRPr="002C7CAB" w14:paraId="23DEE215" w14:textId="77777777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496B3" w14:textId="5CDEAF14" w:rsidR="003139EC" w:rsidRPr="002C7CAB" w:rsidRDefault="00980A3C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642EB" w14:textId="64B88A14" w:rsidR="003139EC" w:rsidRPr="002C7CAB" w:rsidRDefault="00360787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  <w:r w:rsidR="00980A3C" w:rsidRPr="002C7CAB">
              <w:rPr>
                <w:rFonts w:ascii="Arial" w:hAnsi="Arial"/>
                <w:color w:val="auto"/>
                <w:sz w:val="24"/>
              </w:rPr>
              <w:t>06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0ECF" w14:textId="468562B7" w:rsidR="003139EC" w:rsidRPr="002C7CAB" w:rsidRDefault="00980A3C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1,3</w:t>
            </w:r>
          </w:p>
        </w:tc>
      </w:tr>
    </w:tbl>
    <w:p w14:paraId="38941306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--------------------------------</w:t>
      </w:r>
    </w:p>
    <w:p w14:paraId="23AAAD64" w14:textId="77777777" w:rsidR="003139EC" w:rsidRPr="002C7CAB" w:rsidRDefault="00000000">
      <w:pPr>
        <w:pStyle w:val="ConsPlusNormal"/>
        <w:ind w:firstLine="539"/>
        <w:contextualSpacing/>
        <w:jc w:val="both"/>
        <w:rPr>
          <w:rFonts w:ascii="Arial" w:hAnsi="Arial"/>
          <w:color w:val="auto"/>
          <w:sz w:val="24"/>
        </w:rPr>
      </w:pPr>
      <w:bookmarkStart w:id="2" w:name="P455"/>
      <w:bookmarkEnd w:id="2"/>
      <w:r w:rsidRPr="002C7CAB">
        <w:rPr>
          <w:rFonts w:ascii="Arial" w:hAnsi="Arial"/>
          <w:color w:val="auto"/>
          <w:sz w:val="24"/>
        </w:rPr>
        <w:t>&lt;*&gt; Информация, используемая при оценке полноты оформления расходных обязательств:</w:t>
      </w:r>
    </w:p>
    <w:p w14:paraId="65CA917E" w14:textId="77777777" w:rsidR="003139EC" w:rsidRPr="002C7CAB" w:rsidRDefault="00000000">
      <w:pPr>
        <w:pStyle w:val="ConsPlusNormal"/>
        <w:ind w:firstLine="539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реквизиты;</w:t>
      </w:r>
    </w:p>
    <w:p w14:paraId="273C8982" w14:textId="77777777" w:rsidR="003139EC" w:rsidRPr="002C7CAB" w:rsidRDefault="00000000">
      <w:pPr>
        <w:pStyle w:val="ConsPlusNormal"/>
        <w:ind w:firstLine="539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14:paraId="587407EF" w14:textId="77777777" w:rsidR="003139EC" w:rsidRPr="002C7CAB" w:rsidRDefault="00000000">
      <w:pPr>
        <w:pStyle w:val="ConsPlusNormal"/>
        <w:ind w:firstLine="539"/>
        <w:contextualSpacing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14:paraId="76612F24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3" w:name="P459"/>
      <w:bookmarkEnd w:id="3"/>
    </w:p>
    <w:p w14:paraId="095A77AF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1.2. Доля бюджетных ассигнований, представленных в программном виде:</w:t>
      </w:r>
    </w:p>
    <w:p w14:paraId="6EAE34EF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2977"/>
      </w:tblGrid>
      <w:tr w:rsidR="00D24AC3" w:rsidRPr="002C7CAB" w14:paraId="1F5DC390" w14:textId="7777777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1B627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5BD6E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0CE78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доля бюджетных ассигнований в программном виде (</w:t>
            </w:r>
            <w:proofErr w:type="spellStart"/>
            <w:r w:rsidRPr="002C7CAB">
              <w:rPr>
                <w:rFonts w:ascii="Arial" w:hAnsi="Arial"/>
                <w:color w:val="auto"/>
                <w:sz w:val="24"/>
              </w:rPr>
              <w:t>Дпр</w:t>
            </w:r>
            <w:proofErr w:type="spellEnd"/>
            <w:r w:rsidRPr="002C7CAB">
              <w:rPr>
                <w:rFonts w:ascii="Arial" w:hAnsi="Arial"/>
                <w:color w:val="auto"/>
                <w:sz w:val="24"/>
              </w:rPr>
              <w:t>), %. (100 x (гр1 / гр2))</w:t>
            </w:r>
          </w:p>
        </w:tc>
      </w:tr>
      <w:tr w:rsidR="00D24AC3" w:rsidRPr="002C7CAB" w14:paraId="4F78B201" w14:textId="7777777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295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34AD1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A2E22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3139EC" w:rsidRPr="002C7CAB" w14:paraId="286F8B0B" w14:textId="77777777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1C087" w14:textId="7FD03C9B" w:rsidR="003139EC" w:rsidRPr="002C7CAB" w:rsidRDefault="00D24AC3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3435,581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3F806" w14:textId="7DD31FF5" w:rsidR="003139EC" w:rsidRPr="002C7CAB" w:rsidRDefault="00D24AC3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3435,581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D71F" w14:textId="4F767C29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100,00</w:t>
            </w:r>
          </w:p>
        </w:tc>
      </w:tr>
    </w:tbl>
    <w:p w14:paraId="5A35E31C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60569943" w14:textId="77777777" w:rsidR="003139EC" w:rsidRPr="002C7CAB" w:rsidRDefault="00000000">
      <w:pPr>
        <w:pStyle w:val="ConsPlusNormal"/>
        <w:jc w:val="center"/>
        <w:outlineLvl w:val="2"/>
        <w:rPr>
          <w:rFonts w:ascii="Arial" w:hAnsi="Arial"/>
          <w:color w:val="auto"/>
          <w:sz w:val="24"/>
        </w:rPr>
      </w:pPr>
      <w:bookmarkStart w:id="4" w:name="P473"/>
      <w:bookmarkStart w:id="5" w:name="P486"/>
      <w:bookmarkEnd w:id="4"/>
      <w:bookmarkEnd w:id="5"/>
      <w:r w:rsidRPr="002C7CAB">
        <w:rPr>
          <w:rFonts w:ascii="Arial" w:hAnsi="Arial"/>
          <w:color w:val="auto"/>
          <w:sz w:val="24"/>
        </w:rPr>
        <w:t>2. Исполнение бюджета в части расходов</w:t>
      </w:r>
    </w:p>
    <w:p w14:paraId="75429559" w14:textId="77777777" w:rsidR="003139EC" w:rsidRPr="002C7CAB" w:rsidRDefault="003139EC">
      <w:pPr>
        <w:pStyle w:val="ConsPlusNormal"/>
        <w:jc w:val="center"/>
        <w:outlineLvl w:val="2"/>
        <w:rPr>
          <w:rFonts w:ascii="Arial" w:hAnsi="Arial"/>
          <w:color w:val="auto"/>
          <w:sz w:val="24"/>
        </w:rPr>
      </w:pPr>
    </w:p>
    <w:p w14:paraId="16687AC2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2.1. Уровень исполнения расходов за счет межбюджетных трансфертов:</w:t>
      </w:r>
    </w:p>
    <w:p w14:paraId="413A2F08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2C7CAB" w:rsidRPr="002C7CAB" w14:paraId="2EE23AF9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B157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E5C7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2D1E5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Уровень исполнения расходов за счет межбюджетных трансфертов (</w:t>
            </w:r>
            <w:proofErr w:type="spellStart"/>
            <w:r w:rsidRPr="002C7CAB">
              <w:rPr>
                <w:rFonts w:ascii="Arial" w:hAnsi="Arial"/>
                <w:color w:val="auto"/>
                <w:sz w:val="24"/>
              </w:rPr>
              <w:t>Кмбт</w:t>
            </w:r>
            <w:proofErr w:type="spellEnd"/>
            <w:r w:rsidRPr="002C7CAB">
              <w:rPr>
                <w:rFonts w:ascii="Arial" w:hAnsi="Arial"/>
                <w:color w:val="auto"/>
                <w:sz w:val="24"/>
              </w:rPr>
              <w:t xml:space="preserve">), </w:t>
            </w:r>
            <w:proofErr w:type="gramStart"/>
            <w:r w:rsidRPr="002C7CAB">
              <w:rPr>
                <w:rFonts w:ascii="Arial" w:hAnsi="Arial"/>
                <w:color w:val="auto"/>
                <w:sz w:val="24"/>
              </w:rPr>
              <w:t>% .</w:t>
            </w:r>
            <w:proofErr w:type="gramEnd"/>
          </w:p>
          <w:p w14:paraId="126B066D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(100 x (гр1 / гр2))</w:t>
            </w:r>
          </w:p>
        </w:tc>
      </w:tr>
      <w:tr w:rsidR="002C7CAB" w:rsidRPr="002C7CAB" w14:paraId="77B7A965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D1ED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5541C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87183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2C7CAB" w:rsidRPr="002C7CAB" w14:paraId="1FD3D6F5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A7CCE" w14:textId="5E1850DF" w:rsidR="003139EC" w:rsidRPr="002C7CAB" w:rsidRDefault="00201BDC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  <w:r w:rsidR="00D24AC3" w:rsidRPr="002C7CAB">
              <w:rPr>
                <w:rFonts w:ascii="Arial" w:hAnsi="Arial"/>
                <w:color w:val="auto"/>
                <w:sz w:val="24"/>
              </w:rPr>
              <w:t>261,299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2C114" w14:textId="40C49A12" w:rsidR="003139EC" w:rsidRPr="002C7CAB" w:rsidRDefault="00201BDC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  <w:r w:rsidR="00D24AC3" w:rsidRPr="002C7CAB">
              <w:rPr>
                <w:rFonts w:ascii="Arial" w:hAnsi="Arial"/>
                <w:color w:val="auto"/>
                <w:sz w:val="24"/>
              </w:rPr>
              <w:t>261,299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5F8BA" w14:textId="30E10ECC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100</w:t>
            </w:r>
            <w:r w:rsidR="00201BDC" w:rsidRPr="002C7CAB">
              <w:rPr>
                <w:rFonts w:ascii="Arial" w:hAnsi="Arial"/>
                <w:color w:val="auto"/>
                <w:sz w:val="24"/>
              </w:rPr>
              <w:t>,0</w:t>
            </w:r>
            <w:r w:rsidRPr="002C7CAB">
              <w:rPr>
                <w:rFonts w:ascii="Arial" w:hAnsi="Arial"/>
                <w:color w:val="auto"/>
                <w:sz w:val="24"/>
              </w:rPr>
              <w:t>0</w:t>
            </w:r>
          </w:p>
        </w:tc>
      </w:tr>
    </w:tbl>
    <w:p w14:paraId="1CEA3140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6" w:name="P590"/>
      <w:bookmarkEnd w:id="6"/>
    </w:p>
    <w:p w14:paraId="5F701939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2.2. Качество прогнозирования кассовых расходов, кроме муниципальных программ:</w:t>
      </w:r>
    </w:p>
    <w:p w14:paraId="6A8489A7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2C7CAB" w:rsidRPr="002C7CAB" w14:paraId="3A4D7CA6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1C5B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464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56ED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уровень кассового прогнозирования расходов ГАБС, кроме программ (</w:t>
            </w:r>
            <w:proofErr w:type="spellStart"/>
            <w:r w:rsidRPr="002C7CAB">
              <w:rPr>
                <w:rFonts w:ascii="Arial" w:hAnsi="Arial"/>
                <w:color w:val="auto"/>
                <w:sz w:val="24"/>
              </w:rPr>
              <w:t>Пр</w:t>
            </w:r>
            <w:proofErr w:type="spellEnd"/>
            <w:r w:rsidRPr="002C7CAB">
              <w:rPr>
                <w:rFonts w:ascii="Arial" w:hAnsi="Arial"/>
                <w:color w:val="auto"/>
                <w:sz w:val="24"/>
              </w:rPr>
              <w:t>), %.</w:t>
            </w:r>
          </w:p>
          <w:p w14:paraId="0BF7BE55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(100 x (гр1 / гр2))</w:t>
            </w:r>
          </w:p>
        </w:tc>
      </w:tr>
      <w:tr w:rsidR="002C7CAB" w:rsidRPr="002C7CAB" w14:paraId="11D736FD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3C7DE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6824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2F468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2C7CAB" w:rsidRPr="002C7CAB" w14:paraId="1DBD62AD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54F65" w14:textId="6FC1AB54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8</w:t>
            </w:r>
            <w:r w:rsidR="006217F5" w:rsidRPr="002C7CAB">
              <w:rPr>
                <w:rFonts w:ascii="Arial" w:hAnsi="Arial"/>
                <w:color w:val="auto"/>
                <w:sz w:val="24"/>
              </w:rPr>
              <w:t>257,724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941C" w14:textId="79D028B9" w:rsidR="003139EC" w:rsidRPr="002C7CAB" w:rsidRDefault="00201BDC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8</w:t>
            </w:r>
            <w:r w:rsidR="006217F5" w:rsidRPr="002C7CAB">
              <w:rPr>
                <w:rFonts w:ascii="Arial" w:hAnsi="Arial"/>
                <w:color w:val="auto"/>
                <w:sz w:val="24"/>
              </w:rPr>
              <w:t>325,313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5B569" w14:textId="2CC87CBD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9</w:t>
            </w:r>
            <w:r w:rsidR="006217F5" w:rsidRPr="002C7CAB">
              <w:rPr>
                <w:rFonts w:ascii="Arial" w:hAnsi="Arial"/>
                <w:color w:val="auto"/>
                <w:sz w:val="24"/>
              </w:rPr>
              <w:t>9</w:t>
            </w:r>
            <w:r w:rsidR="00201BDC" w:rsidRPr="002C7CAB">
              <w:rPr>
                <w:rFonts w:ascii="Arial" w:hAnsi="Arial"/>
                <w:color w:val="auto"/>
                <w:sz w:val="24"/>
              </w:rPr>
              <w:t>,</w:t>
            </w:r>
            <w:r w:rsidRPr="002C7CAB">
              <w:rPr>
                <w:rFonts w:ascii="Arial" w:hAnsi="Arial"/>
                <w:color w:val="auto"/>
                <w:sz w:val="24"/>
              </w:rPr>
              <w:t>00</w:t>
            </w:r>
          </w:p>
        </w:tc>
      </w:tr>
    </w:tbl>
    <w:p w14:paraId="057F3F1F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7DA54B8B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7" w:name="P560"/>
      <w:bookmarkEnd w:id="7"/>
      <w:r w:rsidRPr="002C7CAB">
        <w:rPr>
          <w:rFonts w:ascii="Arial" w:hAnsi="Arial"/>
          <w:color w:val="auto"/>
          <w:sz w:val="24"/>
        </w:rPr>
        <w:t>2.3. Качество прогнозирования кассовых расходов по программам:</w:t>
      </w:r>
    </w:p>
    <w:p w14:paraId="4950180B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2C7CAB" w:rsidRPr="002C7CAB" w14:paraId="4F6BA5A9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74447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308F2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0BC0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уровень кассового прогнозирования программ ГАБС (</w:t>
            </w:r>
            <w:proofErr w:type="spellStart"/>
            <w:r w:rsidRPr="002C7CAB">
              <w:rPr>
                <w:rFonts w:ascii="Arial" w:hAnsi="Arial"/>
                <w:color w:val="auto"/>
                <w:sz w:val="24"/>
              </w:rPr>
              <w:t>Пцп</w:t>
            </w:r>
            <w:proofErr w:type="spellEnd"/>
            <w:r w:rsidRPr="002C7CAB">
              <w:rPr>
                <w:rFonts w:ascii="Arial" w:hAnsi="Arial"/>
                <w:color w:val="auto"/>
                <w:sz w:val="24"/>
              </w:rPr>
              <w:t>), %.</w:t>
            </w:r>
          </w:p>
          <w:p w14:paraId="4E3E8470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(100 x (гр1 / гр2))</w:t>
            </w:r>
          </w:p>
        </w:tc>
      </w:tr>
      <w:tr w:rsidR="002C7CAB" w:rsidRPr="002C7CAB" w14:paraId="38075452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F3097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7F5C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CED45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2C7CAB" w:rsidRPr="002C7CAB" w14:paraId="5DF18DCC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AA921" w14:textId="13E98DD8" w:rsidR="003139EC" w:rsidRPr="002C7CAB" w:rsidRDefault="0087492F">
            <w:pPr>
              <w:rPr>
                <w:color w:val="auto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3435,581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71A93" w14:textId="25C22E2E" w:rsidR="003139EC" w:rsidRPr="002C7CAB" w:rsidRDefault="0087492F">
            <w:pPr>
              <w:rPr>
                <w:color w:val="auto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3435,581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34D1A" w14:textId="7B61ED37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100</w:t>
            </w:r>
            <w:r w:rsidR="00201BDC" w:rsidRPr="002C7CAB">
              <w:rPr>
                <w:rFonts w:ascii="Arial" w:hAnsi="Arial"/>
                <w:color w:val="auto"/>
                <w:sz w:val="24"/>
              </w:rPr>
              <w:t>,</w:t>
            </w:r>
            <w:r w:rsidRPr="002C7CAB">
              <w:rPr>
                <w:rFonts w:ascii="Arial" w:hAnsi="Arial"/>
                <w:color w:val="auto"/>
                <w:sz w:val="24"/>
              </w:rPr>
              <w:t>00</w:t>
            </w:r>
          </w:p>
        </w:tc>
      </w:tr>
    </w:tbl>
    <w:p w14:paraId="16D9C386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3B2E9B2F" w14:textId="77777777" w:rsidR="003139EC" w:rsidRPr="002C7CAB" w:rsidRDefault="00000000">
      <w:pPr>
        <w:pStyle w:val="ConsPlusNormal"/>
        <w:jc w:val="center"/>
        <w:outlineLvl w:val="2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3. Исполнение бюджета в части доходов</w:t>
      </w:r>
    </w:p>
    <w:p w14:paraId="06043A10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6B341F13" w14:textId="5D400C40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8" w:name="P624"/>
      <w:bookmarkStart w:id="9" w:name="P648"/>
      <w:bookmarkEnd w:id="8"/>
      <w:bookmarkEnd w:id="9"/>
      <w:r w:rsidRPr="002C7CAB">
        <w:rPr>
          <w:rFonts w:ascii="Arial" w:hAnsi="Arial"/>
          <w:color w:val="auto"/>
          <w:sz w:val="24"/>
        </w:rPr>
        <w:t xml:space="preserve">3.1. Полнота зачисления платежей в бюджет </w:t>
      </w:r>
      <w:proofErr w:type="spellStart"/>
      <w:r w:rsidR="00201BDC" w:rsidRPr="002C7CAB">
        <w:rPr>
          <w:rFonts w:ascii="Arial" w:hAnsi="Arial"/>
          <w:color w:val="auto"/>
          <w:sz w:val="24"/>
        </w:rPr>
        <w:t>Верхнелюбажского</w:t>
      </w:r>
      <w:proofErr w:type="spellEnd"/>
      <w:r w:rsidRPr="002C7CAB">
        <w:rPr>
          <w:rFonts w:ascii="Arial" w:hAnsi="Arial"/>
          <w:color w:val="auto"/>
          <w:sz w:val="24"/>
        </w:rPr>
        <w:t xml:space="preserve"> сельсовета        </w:t>
      </w:r>
      <w:r w:rsidRPr="002C7CAB">
        <w:rPr>
          <w:rFonts w:ascii="Arial" w:hAnsi="Arial"/>
          <w:color w:val="auto"/>
          <w:sz w:val="24"/>
        </w:rPr>
        <w:lastRenderedPageBreak/>
        <w:t>Фатежского района по ГАБС, объем невыясненных поступлений:</w:t>
      </w:r>
    </w:p>
    <w:p w14:paraId="4998FCA2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6"/>
        <w:gridCol w:w="2951"/>
      </w:tblGrid>
      <w:tr w:rsidR="002C7CAB" w:rsidRPr="002C7CAB" w14:paraId="0CEE16F8" w14:textId="77777777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BFE0" w14:textId="3FF105AD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 xml:space="preserve">Сумма поступлений по зачисляемым платежам в бюджет </w:t>
            </w:r>
            <w:proofErr w:type="spellStart"/>
            <w:r w:rsidR="00201BDC" w:rsidRPr="002C7CAB">
              <w:rPr>
                <w:rFonts w:ascii="Arial" w:hAnsi="Arial"/>
                <w:color w:val="auto"/>
                <w:sz w:val="24"/>
              </w:rPr>
              <w:t>Верхнелюбажского</w:t>
            </w:r>
            <w:proofErr w:type="spellEnd"/>
            <w:r w:rsidRPr="002C7CAB">
              <w:rPr>
                <w:rFonts w:ascii="Arial" w:hAnsi="Arial"/>
                <w:color w:val="auto"/>
                <w:sz w:val="24"/>
              </w:rPr>
              <w:t xml:space="preserve"> сельсовета Фатежского района, отнесенных на невыясненные поступления за отчетный финансовый год (тыс. рублей)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B2DE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 xml:space="preserve">Показатель: наличие / отсутствие невыясненных поступлений ГРБС </w:t>
            </w:r>
          </w:p>
          <w:p w14:paraId="5773B4DB" w14:textId="77777777" w:rsidR="003139EC" w:rsidRPr="002C7CAB" w:rsidRDefault="003139EC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</w:p>
        </w:tc>
      </w:tr>
      <w:tr w:rsidR="002C7CAB" w:rsidRPr="002C7CAB" w14:paraId="5908DD12" w14:textId="77777777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3E0AB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EB8EB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</w:tr>
      <w:tr w:rsidR="003139EC" w:rsidRPr="002C7CAB" w14:paraId="32C338CF" w14:textId="77777777"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E33D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B83FD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отсутствие</w:t>
            </w:r>
          </w:p>
        </w:tc>
      </w:tr>
    </w:tbl>
    <w:p w14:paraId="06672403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10" w:name="P662"/>
      <w:bookmarkEnd w:id="10"/>
    </w:p>
    <w:p w14:paraId="3DDD2D27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3.2. Отклонение кассового исполнения по доходам от прогноза по ГАБС:</w:t>
      </w:r>
    </w:p>
    <w:p w14:paraId="691A157F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4"/>
        <w:gridCol w:w="3399"/>
        <w:gridCol w:w="2864"/>
      </w:tblGrid>
      <w:tr w:rsidR="002C7CAB" w:rsidRPr="002C7CAB" w14:paraId="5FD634C2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78B4B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79424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ADF07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отклонение доходов (Од), %.</w:t>
            </w:r>
          </w:p>
          <w:p w14:paraId="1A3AE0FE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(100 x (1 - (гр1 / гр2))</w:t>
            </w:r>
          </w:p>
        </w:tc>
      </w:tr>
      <w:tr w:rsidR="002C7CAB" w:rsidRPr="002C7CAB" w14:paraId="3F28B736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2D111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B43CD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0C60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2C7CAB" w:rsidRPr="002C7CAB" w14:paraId="2A010448" w14:textId="77777777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96185" w14:textId="37C6EA39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13</w:t>
            </w:r>
            <w:r w:rsidR="00E130DD" w:rsidRPr="002C7CAB">
              <w:rPr>
                <w:rFonts w:ascii="Arial" w:hAnsi="Arial"/>
                <w:color w:val="auto"/>
                <w:sz w:val="24"/>
              </w:rPr>
              <w:t>284,398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E90F" w14:textId="55B11F2B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  <w:r w:rsidR="00E130DD" w:rsidRPr="002C7CAB">
              <w:rPr>
                <w:rFonts w:ascii="Arial" w:hAnsi="Arial"/>
                <w:color w:val="auto"/>
                <w:sz w:val="24"/>
              </w:rPr>
              <w:t>3283,935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FB1B2" w14:textId="7D61DD93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0,00</w:t>
            </w:r>
          </w:p>
        </w:tc>
      </w:tr>
    </w:tbl>
    <w:p w14:paraId="040E197F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2BF4E0B9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11" w:name="P676"/>
      <w:bookmarkEnd w:id="11"/>
      <w:r w:rsidRPr="002C7CAB">
        <w:rPr>
          <w:rFonts w:ascii="Arial" w:hAnsi="Arial"/>
          <w:color w:val="auto"/>
          <w:sz w:val="24"/>
        </w:rPr>
        <w:t>3.3. Эффективность управления дебиторской задолженностью по расчетам с дебиторами по доходам:</w:t>
      </w:r>
    </w:p>
    <w:p w14:paraId="6C5DECE6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4"/>
        <w:gridCol w:w="2897"/>
        <w:gridCol w:w="2897"/>
      </w:tblGrid>
      <w:tr w:rsidR="002C7CAB" w:rsidRPr="002C7CAB" w14:paraId="3C3958C9" w14:textId="77777777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62FA2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E5244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6AA36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Показатель: эффективность управления дебиторской задолженностью ГРБС (Эд), %.</w:t>
            </w:r>
          </w:p>
          <w:p w14:paraId="4DCC933D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(100 x (гр1 / гр2))</w:t>
            </w:r>
          </w:p>
        </w:tc>
      </w:tr>
      <w:tr w:rsidR="002C7CAB" w:rsidRPr="002C7CAB" w14:paraId="4A6F624B" w14:textId="77777777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FF7C0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06DB3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D23B2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</w:tr>
      <w:tr w:rsidR="003139EC" w:rsidRPr="002C7CAB" w14:paraId="6C9A1E98" w14:textId="77777777"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B030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EC37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3DE76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100,00</w:t>
            </w:r>
          </w:p>
        </w:tc>
      </w:tr>
    </w:tbl>
    <w:p w14:paraId="6F94A33A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3446EB92" w14:textId="77777777" w:rsidR="003139EC" w:rsidRPr="002C7CAB" w:rsidRDefault="00000000">
      <w:pPr>
        <w:pStyle w:val="ConsPlusNormal"/>
        <w:jc w:val="center"/>
        <w:outlineLvl w:val="2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4. Качество управления активами</w:t>
      </w:r>
    </w:p>
    <w:p w14:paraId="1FC8117D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5953ACE5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12" w:name="P693"/>
      <w:bookmarkStart w:id="13" w:name="_Hlk32055121"/>
      <w:bookmarkEnd w:id="12"/>
      <w:r w:rsidRPr="002C7CAB">
        <w:rPr>
          <w:rFonts w:ascii="Arial" w:hAnsi="Arial"/>
          <w:color w:val="auto"/>
          <w:sz w:val="24"/>
        </w:rPr>
        <w:t xml:space="preserve">4.1. Недостачи и хищения денежных средств и материальных ценностей </w:t>
      </w:r>
    </w:p>
    <w:p w14:paraId="7A1CA7C7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Отсутствие недостач __ДА_________(да/нет)</w:t>
      </w:r>
    </w:p>
    <w:p w14:paraId="385D6E49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Наличие недостач _____НЕТ_______ (пояснения)</w:t>
      </w:r>
    </w:p>
    <w:bookmarkEnd w:id="13"/>
    <w:p w14:paraId="735CBD0F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47CDE0C9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bookmarkStart w:id="14" w:name="_Hlk32215609"/>
      <w:r w:rsidRPr="002C7CAB">
        <w:rPr>
          <w:rFonts w:ascii="Arial" w:hAnsi="Arial"/>
          <w:color w:val="auto"/>
          <w:sz w:val="24"/>
        </w:rPr>
        <w:t xml:space="preserve">4.2. Нарушения при управлении и распоряжении муниципальной собственностью </w:t>
      </w:r>
    </w:p>
    <w:p w14:paraId="40354E12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Отсутствие нарушений _______ДА____(да/нет)</w:t>
      </w:r>
    </w:p>
    <w:p w14:paraId="5800D437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Наличие нарушений _______НЕТ_____ (пояснения)</w:t>
      </w:r>
    </w:p>
    <w:bookmarkEnd w:id="14"/>
    <w:p w14:paraId="32DA2D5B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770ABAB2" w14:textId="77777777" w:rsidR="003139EC" w:rsidRPr="002C7CAB" w:rsidRDefault="00000000">
      <w:pPr>
        <w:pStyle w:val="ConsPlusNormal"/>
        <w:ind w:firstLine="540"/>
        <w:jc w:val="center"/>
        <w:rPr>
          <w:rFonts w:ascii="Arial" w:hAnsi="Arial"/>
          <w:color w:val="auto"/>
          <w:sz w:val="24"/>
        </w:rPr>
      </w:pPr>
      <w:bookmarkStart w:id="15" w:name="_Hlk32055661"/>
      <w:r w:rsidRPr="002C7CAB">
        <w:rPr>
          <w:rFonts w:ascii="Arial" w:hAnsi="Arial"/>
          <w:color w:val="auto"/>
          <w:sz w:val="24"/>
        </w:rPr>
        <w:t>5. Контроль за правомерностью использования бюджетных средств</w:t>
      </w:r>
    </w:p>
    <w:p w14:paraId="71A9392B" w14:textId="77777777" w:rsidR="003139EC" w:rsidRPr="002C7CAB" w:rsidRDefault="003139EC">
      <w:pPr>
        <w:pStyle w:val="ConsPlusNormal"/>
        <w:ind w:firstLine="540"/>
        <w:jc w:val="center"/>
        <w:rPr>
          <w:rFonts w:ascii="Arial" w:hAnsi="Arial"/>
          <w:color w:val="auto"/>
          <w:sz w:val="24"/>
        </w:rPr>
      </w:pPr>
    </w:p>
    <w:p w14:paraId="0403263A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5.1. Наличие разработанного главным администратором бюджетных средств порядка проведения финансового мониторинга в отношении подведомственных ему </w:t>
      </w:r>
      <w:r w:rsidRPr="002C7CAB">
        <w:rPr>
          <w:rFonts w:ascii="Arial" w:hAnsi="Arial"/>
          <w:color w:val="auto"/>
          <w:sz w:val="24"/>
        </w:rPr>
        <w:lastRenderedPageBreak/>
        <w:t>администраторов бюджетных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1227"/>
        <w:gridCol w:w="1516"/>
        <w:gridCol w:w="855"/>
        <w:gridCol w:w="981"/>
        <w:gridCol w:w="1734"/>
        <w:gridCol w:w="1468"/>
      </w:tblGrid>
      <w:tr w:rsidR="002C7CAB" w:rsidRPr="002C7CAB" w14:paraId="37EC8D09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E3F70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Порядковый номер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4604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Вид документа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BDFE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Принявший орган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B7B4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Дата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57A56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Номер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2EE6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Дата вступления в силу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122B1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Срок действия</w:t>
            </w:r>
          </w:p>
        </w:tc>
      </w:tr>
      <w:tr w:rsidR="002C7CAB" w:rsidRPr="002C7CAB" w14:paraId="2E70AA68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B569C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506D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3074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7973A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151AD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7503B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E757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7</w:t>
            </w:r>
          </w:p>
        </w:tc>
      </w:tr>
      <w:tr w:rsidR="003139EC" w:rsidRPr="002C7CAB" w14:paraId="1E43055E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61B4B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1D8FA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Постановление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DA24C" w14:textId="19A60B94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0"/>
              </w:rPr>
            </w:pPr>
            <w:r w:rsidRPr="002C7CAB">
              <w:rPr>
                <w:rFonts w:ascii="Times New Roman" w:hAnsi="Times New Roman"/>
                <w:color w:val="auto"/>
                <w:sz w:val="20"/>
              </w:rPr>
              <w:t xml:space="preserve">АДМИНИСТРАЦИЯ </w:t>
            </w:r>
            <w:r w:rsidR="00201BDC" w:rsidRPr="002C7CAB">
              <w:rPr>
                <w:rFonts w:ascii="Times New Roman" w:hAnsi="Times New Roman"/>
                <w:color w:val="auto"/>
                <w:sz w:val="20"/>
              </w:rPr>
              <w:t>ВЕРХНЕЛЮБАЖСКОГО</w:t>
            </w:r>
            <w:r w:rsidRPr="002C7CAB">
              <w:rPr>
                <w:rFonts w:ascii="Times New Roman" w:hAnsi="Times New Roman"/>
                <w:color w:val="auto"/>
                <w:sz w:val="20"/>
              </w:rPr>
              <w:t xml:space="preserve"> СЕЛЬСОВЕТА ФАТЕЖСКОГО РАЙОНА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0F48" w14:textId="4A6150F9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29</w:t>
            </w:r>
            <w:r w:rsidR="00201BDC" w:rsidRPr="002C7CAB">
              <w:rPr>
                <w:rFonts w:ascii="Arial" w:hAnsi="Arial"/>
                <w:color w:val="auto"/>
                <w:sz w:val="24"/>
              </w:rPr>
              <w:t>.12.20</w:t>
            </w:r>
            <w:r w:rsidRPr="002C7CAB">
              <w:rPr>
                <w:rFonts w:ascii="Arial" w:hAnsi="Arial"/>
                <w:color w:val="auto"/>
                <w:sz w:val="24"/>
              </w:rPr>
              <w:t>23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F168B" w14:textId="62331F69" w:rsidR="003139EC" w:rsidRPr="002C7CAB" w:rsidRDefault="00201BDC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  <w:r w:rsidR="00993151" w:rsidRPr="002C7CAB">
              <w:rPr>
                <w:rFonts w:ascii="Arial" w:hAnsi="Arial"/>
                <w:color w:val="auto"/>
                <w:sz w:val="24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0C716" w14:textId="6E1267CB" w:rsidR="003139EC" w:rsidRPr="002C7CAB" w:rsidRDefault="00993151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29</w:t>
            </w:r>
            <w:r w:rsidR="00201BDC" w:rsidRPr="002C7CAB">
              <w:rPr>
                <w:rFonts w:ascii="Arial" w:hAnsi="Arial"/>
                <w:color w:val="auto"/>
                <w:sz w:val="24"/>
              </w:rPr>
              <w:t>.12.20</w:t>
            </w:r>
            <w:r w:rsidRPr="002C7CAB">
              <w:rPr>
                <w:rFonts w:ascii="Arial" w:hAnsi="Arial"/>
                <w:color w:val="auto"/>
                <w:sz w:val="24"/>
              </w:rPr>
              <w:t>23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262BE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бессрочно</w:t>
            </w:r>
          </w:p>
        </w:tc>
      </w:tr>
    </w:tbl>
    <w:p w14:paraId="0C31A1D2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bookmarkEnd w:id="15"/>
    <w:p w14:paraId="6719B161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14:paraId="5FB6CA00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02705432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Указывается краткая характеристика нарушений (при наличии), сумма выявленных </w:t>
      </w:r>
      <w:proofErr w:type="gramStart"/>
      <w:r w:rsidRPr="002C7CAB">
        <w:rPr>
          <w:rFonts w:ascii="Arial" w:hAnsi="Arial"/>
          <w:color w:val="auto"/>
          <w:sz w:val="24"/>
        </w:rPr>
        <w:t>нарушений,  0</w:t>
      </w:r>
      <w:proofErr w:type="gramEnd"/>
      <w:r w:rsidRPr="002C7CAB">
        <w:rPr>
          <w:rFonts w:ascii="Arial" w:hAnsi="Arial"/>
          <w:color w:val="auto"/>
          <w:sz w:val="24"/>
        </w:rPr>
        <w:t xml:space="preserve"> тыс. рублей.</w:t>
      </w:r>
    </w:p>
    <w:p w14:paraId="2A5AAEC0" w14:textId="77777777" w:rsidR="003139EC" w:rsidRPr="002C7CAB" w:rsidRDefault="003139EC">
      <w:pPr>
        <w:pStyle w:val="ConsPlusNormal"/>
        <w:ind w:firstLine="540"/>
        <w:jc w:val="center"/>
        <w:rPr>
          <w:rFonts w:ascii="Arial" w:hAnsi="Arial"/>
          <w:color w:val="auto"/>
          <w:sz w:val="24"/>
        </w:rPr>
      </w:pPr>
    </w:p>
    <w:p w14:paraId="73EEB226" w14:textId="77777777" w:rsidR="003139EC" w:rsidRPr="002C7CAB" w:rsidRDefault="00000000">
      <w:pPr>
        <w:pStyle w:val="ConsPlusNormal"/>
        <w:ind w:firstLine="540"/>
        <w:jc w:val="center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6. Качество осуществления закупок товаров, работ, услуг для обеспечения муниципальных нужд</w:t>
      </w:r>
    </w:p>
    <w:p w14:paraId="273547B4" w14:textId="77777777" w:rsidR="003139EC" w:rsidRPr="002C7CAB" w:rsidRDefault="003139EC">
      <w:pPr>
        <w:pStyle w:val="ConsPlusNormal"/>
        <w:ind w:firstLine="540"/>
        <w:jc w:val="center"/>
        <w:rPr>
          <w:rFonts w:ascii="Arial" w:hAnsi="Arial"/>
          <w:color w:val="auto"/>
          <w:sz w:val="24"/>
        </w:rPr>
      </w:pPr>
    </w:p>
    <w:p w14:paraId="420C8D72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6.1. Выявленные органами контроля нарушения в сфере закупок для муниципальных нужд, осуществляемых ГАБС</w:t>
      </w:r>
    </w:p>
    <w:p w14:paraId="769B2C12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1227"/>
        <w:gridCol w:w="1333"/>
        <w:gridCol w:w="992"/>
        <w:gridCol w:w="981"/>
        <w:gridCol w:w="3201"/>
      </w:tblGrid>
      <w:tr w:rsidR="002C7CAB" w:rsidRPr="002C7CAB" w14:paraId="3C1C3FB9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6B0B1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Порядковый номер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53D68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Вид документа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1A715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A479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Дата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9999C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Номер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6E5D8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Краткий обзор выявленных нарушений</w:t>
            </w:r>
          </w:p>
        </w:tc>
      </w:tr>
      <w:tr w:rsidR="002C7CAB" w:rsidRPr="002C7CAB" w14:paraId="204B2D70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57526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BFD96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C219C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22766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E6A12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7EB4F" w14:textId="77777777" w:rsidR="003139EC" w:rsidRPr="002C7CAB" w:rsidRDefault="00000000">
            <w:pPr>
              <w:pStyle w:val="ConsPlusNormal"/>
              <w:jc w:val="center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6</w:t>
            </w:r>
          </w:p>
        </w:tc>
      </w:tr>
      <w:tr w:rsidR="002C7CAB" w:rsidRPr="002C7CAB" w14:paraId="09BDBD18" w14:textId="7777777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ADF5A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76C57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42E21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A90BD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F79F4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-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65092" w14:textId="77777777" w:rsidR="003139EC" w:rsidRPr="002C7CAB" w:rsidRDefault="00000000">
            <w:pPr>
              <w:pStyle w:val="ConsPlusNormal"/>
              <w:rPr>
                <w:rFonts w:ascii="Arial" w:hAnsi="Arial"/>
                <w:color w:val="auto"/>
                <w:sz w:val="24"/>
              </w:rPr>
            </w:pPr>
            <w:r w:rsidRPr="002C7CAB">
              <w:rPr>
                <w:rFonts w:ascii="Arial" w:hAnsi="Arial"/>
                <w:color w:val="auto"/>
                <w:sz w:val="24"/>
              </w:rPr>
              <w:t>отсутствуют</w:t>
            </w:r>
          </w:p>
        </w:tc>
      </w:tr>
    </w:tbl>
    <w:p w14:paraId="4F0C0335" w14:textId="77777777" w:rsidR="003139EC" w:rsidRPr="002C7CAB" w:rsidRDefault="003139EC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</w:p>
    <w:p w14:paraId="1AE3D8A8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6.2. Использование конкурентных способов закупок товаров, работ, услуг ГАБС, экономия средств</w:t>
      </w:r>
    </w:p>
    <w:p w14:paraId="31FB54B0" w14:textId="77777777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>Количество проведенных торгов_1 (единиц)</w:t>
      </w:r>
    </w:p>
    <w:p w14:paraId="11ECAB7F" w14:textId="2F7B13F1" w:rsidR="003139EC" w:rsidRPr="002C7CAB" w:rsidRDefault="00000000">
      <w:pPr>
        <w:pStyle w:val="ConsPlusNormal"/>
        <w:ind w:firstLine="540"/>
        <w:jc w:val="both"/>
        <w:rPr>
          <w:rFonts w:ascii="Arial" w:hAnsi="Arial"/>
          <w:color w:val="auto"/>
          <w:sz w:val="24"/>
        </w:rPr>
      </w:pPr>
      <w:r w:rsidRPr="002C7CAB">
        <w:rPr>
          <w:rFonts w:ascii="Arial" w:hAnsi="Arial"/>
          <w:color w:val="auto"/>
          <w:sz w:val="24"/>
        </w:rPr>
        <w:t xml:space="preserve">Общая сумма экономии бюджетных средств </w:t>
      </w:r>
      <w:r w:rsidR="00332C93" w:rsidRPr="002C7CAB">
        <w:rPr>
          <w:rFonts w:ascii="Arial" w:hAnsi="Arial"/>
          <w:color w:val="auto"/>
          <w:sz w:val="24"/>
        </w:rPr>
        <w:t>258,193</w:t>
      </w:r>
      <w:r w:rsidRPr="002C7CAB">
        <w:rPr>
          <w:rFonts w:ascii="Arial" w:hAnsi="Arial"/>
          <w:color w:val="auto"/>
          <w:sz w:val="24"/>
        </w:rPr>
        <w:t xml:space="preserve"> (тыс. рублей)</w:t>
      </w:r>
    </w:p>
    <w:p w14:paraId="3F7BEC85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102D8BCD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3E58F703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76090920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53B00510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22BF1B25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1881163D" w14:textId="77777777" w:rsidR="003139EC" w:rsidRPr="002C7CAB" w:rsidRDefault="003139EC">
      <w:pPr>
        <w:pStyle w:val="ConsPlusNormal"/>
        <w:jc w:val="right"/>
        <w:outlineLvl w:val="1"/>
        <w:rPr>
          <w:rFonts w:ascii="Arial" w:hAnsi="Arial"/>
          <w:color w:val="auto"/>
          <w:sz w:val="24"/>
        </w:rPr>
      </w:pPr>
    </w:p>
    <w:p w14:paraId="2B3ED3B0" w14:textId="77777777" w:rsidR="003139EC" w:rsidRPr="002C7CAB" w:rsidRDefault="003139EC">
      <w:pPr>
        <w:rPr>
          <w:color w:val="auto"/>
        </w:rPr>
        <w:sectPr w:rsidR="003139EC" w:rsidRPr="002C7CAB" w:rsidSect="0016681F">
          <w:footerReference w:type="default" r:id="rId6"/>
          <w:pgSz w:w="11905" w:h="16838"/>
          <w:pgMar w:top="851" w:right="680" w:bottom="680" w:left="1588" w:header="0" w:footer="0" w:gutter="0"/>
          <w:cols w:space="720"/>
          <w:titlePg/>
        </w:sectPr>
      </w:pPr>
    </w:p>
    <w:p w14:paraId="244BE340" w14:textId="77777777" w:rsidR="001F72A9" w:rsidRPr="002C7CAB" w:rsidRDefault="001F72A9">
      <w:pPr>
        <w:rPr>
          <w:color w:val="auto"/>
        </w:rPr>
      </w:pPr>
    </w:p>
    <w:sectPr w:rsidR="001F72A9" w:rsidRPr="002C7CAB">
      <w:footerReference w:type="default" r:id="rId7"/>
      <w:pgSz w:w="16838" w:h="11905" w:orient="landscape"/>
      <w:pgMar w:top="899" w:right="1134" w:bottom="1135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1821" w14:textId="77777777" w:rsidR="009F1F51" w:rsidRDefault="009F1F51">
      <w:r>
        <w:separator/>
      </w:r>
    </w:p>
  </w:endnote>
  <w:endnote w:type="continuationSeparator" w:id="0">
    <w:p w14:paraId="1FF9F9BC" w14:textId="77777777" w:rsidR="009F1F51" w:rsidRDefault="009F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9989" w14:textId="77777777" w:rsidR="003139EC" w:rsidRDefault="003139EC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6095" w14:textId="77777777" w:rsidR="003139EC" w:rsidRDefault="003139E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3FA6" w14:textId="77777777" w:rsidR="009F1F51" w:rsidRDefault="009F1F51">
      <w:r>
        <w:separator/>
      </w:r>
    </w:p>
  </w:footnote>
  <w:footnote w:type="continuationSeparator" w:id="0">
    <w:p w14:paraId="5AF078BC" w14:textId="77777777" w:rsidR="009F1F51" w:rsidRDefault="009F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9EC"/>
    <w:rsid w:val="00076D42"/>
    <w:rsid w:val="0016681F"/>
    <w:rsid w:val="001F72A9"/>
    <w:rsid w:val="00201BDC"/>
    <w:rsid w:val="002C7CAB"/>
    <w:rsid w:val="003139EC"/>
    <w:rsid w:val="00332C93"/>
    <w:rsid w:val="00360787"/>
    <w:rsid w:val="00403F0B"/>
    <w:rsid w:val="006217F5"/>
    <w:rsid w:val="0068174F"/>
    <w:rsid w:val="006D2A98"/>
    <w:rsid w:val="0087492F"/>
    <w:rsid w:val="00980A3C"/>
    <w:rsid w:val="00993151"/>
    <w:rsid w:val="009F1F51"/>
    <w:rsid w:val="00B325D5"/>
    <w:rsid w:val="00C1667E"/>
    <w:rsid w:val="00D066A0"/>
    <w:rsid w:val="00D24AC3"/>
    <w:rsid w:val="00E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577A"/>
  <w15:docId w15:val="{D11BF2CB-800A-4FEB-A0BE-0B5B1F4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aa">
    <w:name w:val="caption"/>
    <w:basedOn w:val="a"/>
    <w:next w:val="a"/>
    <w:link w:val="ab"/>
    <w:pPr>
      <w:jc w:val="center"/>
    </w:pPr>
    <w:rPr>
      <w:b/>
      <w:sz w:val="32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b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cp:lastPrinted>2023-07-28T09:20:00Z</cp:lastPrinted>
  <dcterms:created xsi:type="dcterms:W3CDTF">2023-07-28T09:19:00Z</dcterms:created>
  <dcterms:modified xsi:type="dcterms:W3CDTF">2025-02-20T12:48:00Z</dcterms:modified>
</cp:coreProperties>
</file>