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DD16BC">
              <w:rPr>
                <w:sz w:val="28"/>
                <w:szCs w:val="28"/>
              </w:rPr>
              <w:t>города Фатежа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DD16BC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Емельянову С.И.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DD16BC" w:rsidRPr="00DD16BC" w:rsidRDefault="002F1E58" w:rsidP="00DD16BC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16BC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DD16BC" w:rsidRPr="00DD16BC">
        <w:rPr>
          <w:rFonts w:ascii="Times New Roman" w:eastAsia="Calibri" w:hAnsi="Times New Roman" w:cs="Times New Roman"/>
          <w:bCs/>
          <w:sz w:val="27"/>
          <w:szCs w:val="27"/>
        </w:rPr>
        <w:t xml:space="preserve">С 1 сентября 2025 года вводят </w:t>
      </w:r>
      <w:r w:rsidR="001C69DB">
        <w:rPr>
          <w:rFonts w:ascii="Times New Roman" w:eastAsia="Calibri" w:hAnsi="Times New Roman" w:cs="Times New Roman"/>
          <w:bCs/>
          <w:sz w:val="27"/>
          <w:szCs w:val="27"/>
        </w:rPr>
        <w:t xml:space="preserve">уголовную </w:t>
      </w:r>
      <w:bookmarkStart w:id="0" w:name="_GoBack"/>
      <w:bookmarkEnd w:id="0"/>
      <w:r w:rsidR="00DD16BC" w:rsidRPr="00DD16BC">
        <w:rPr>
          <w:rFonts w:ascii="Times New Roman" w:eastAsia="Calibri" w:hAnsi="Times New Roman" w:cs="Times New Roman"/>
          <w:bCs/>
          <w:sz w:val="27"/>
          <w:szCs w:val="27"/>
        </w:rPr>
        <w:t>ответственность за пропаганду в интернете незаконного оборота и потребления наркотиков.</w:t>
      </w:r>
    </w:p>
    <w:p w:rsidR="00DD16BC" w:rsidRDefault="00DD16BC" w:rsidP="00DD16BC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16BC">
        <w:rPr>
          <w:rFonts w:ascii="Times New Roman" w:eastAsia="Calibri" w:hAnsi="Times New Roman" w:cs="Times New Roman"/>
          <w:sz w:val="27"/>
          <w:szCs w:val="27"/>
        </w:rPr>
        <w:t xml:space="preserve">Вступающим в силу 01.09.2025 Федеральным законом от 08.08.2024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DD16BC">
        <w:rPr>
          <w:rFonts w:ascii="Times New Roman" w:eastAsia="Calibri" w:hAnsi="Times New Roman" w:cs="Times New Roman"/>
          <w:sz w:val="27"/>
          <w:szCs w:val="27"/>
        </w:rPr>
        <w:t xml:space="preserve"> 226-ФЗ</w:t>
      </w:r>
      <w:r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Pr="00DD16BC">
        <w:rPr>
          <w:rFonts w:ascii="Times New Roman" w:eastAsia="Calibri" w:hAnsi="Times New Roman" w:cs="Times New Roman"/>
          <w:sz w:val="27"/>
          <w:szCs w:val="27"/>
        </w:rPr>
        <w:t>О внесении изменений в Уголовный кодекс Российской Федерации и статьи 31 и 151 Уголовно-процессуального кодекса Российской Федерации</w:t>
      </w:r>
      <w:r>
        <w:rPr>
          <w:rFonts w:ascii="Times New Roman" w:eastAsia="Calibri" w:hAnsi="Times New Roman" w:cs="Times New Roman"/>
          <w:sz w:val="27"/>
          <w:szCs w:val="27"/>
        </w:rPr>
        <w:t>» Уголовный кодекс РФ дополнен статьей 230.3 «</w:t>
      </w:r>
      <w:r w:rsidRPr="00DD16BC">
        <w:rPr>
          <w:rFonts w:ascii="Times New Roman" w:eastAsia="Calibri" w:hAnsi="Times New Roman" w:cs="Times New Roman"/>
          <w:sz w:val="27"/>
          <w:szCs w:val="27"/>
        </w:rPr>
        <w:t>Пропаганда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</w:t>
      </w:r>
      <w:r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1C69DB" w:rsidRPr="001C69DB" w:rsidRDefault="001C69DB" w:rsidP="001C69DB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Законодателем указанное преступление отнесено к категории небольшой тяжести и предусматривает максимальный размер наказания в виде 2 лет лишения свободы </w:t>
      </w:r>
      <w:r w:rsidRPr="001C69DB">
        <w:rPr>
          <w:rFonts w:ascii="Times New Roman" w:eastAsia="Calibri" w:hAnsi="Times New Roman" w:cs="Times New Roman"/>
          <w:sz w:val="27"/>
          <w:szCs w:val="27"/>
        </w:rPr>
        <w:t>с лишением права занимать определенные должности или заниматься определенной деятельностью на срок до двух лет или без такового.</w:t>
      </w:r>
    </w:p>
    <w:p w:rsidR="001C69DB" w:rsidRPr="001C69DB" w:rsidRDefault="001C69DB" w:rsidP="001C69DB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C69DB">
        <w:rPr>
          <w:rFonts w:ascii="Times New Roman" w:eastAsia="Calibri" w:hAnsi="Times New Roman" w:cs="Times New Roman"/>
          <w:sz w:val="27"/>
          <w:szCs w:val="27"/>
        </w:rPr>
        <w:t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Pr="001C69D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034BE" w:rsidRPr="000034BE" w:rsidRDefault="000034BE" w:rsidP="000034B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0034BE" w:rsidRDefault="00537A55" w:rsidP="00340E77">
      <w:pPr>
        <w:autoSpaceDE w:val="0"/>
        <w:autoSpaceDN w:val="0"/>
        <w:adjustRightInd w:val="0"/>
        <w:spacing w:after="0" w:line="228" w:lineRule="auto"/>
        <w:ind w:right="284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1C69DB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69DB">
              <w:rPr>
                <w:rFonts w:ascii="Times New Roman" w:hAnsi="Times New Roman" w:cs="Times New Roman"/>
                <w:sz w:val="27"/>
                <w:szCs w:val="27"/>
              </w:rPr>
              <w:t>Д.Р. Чебанов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7C2E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AA41-F1C6-4FBD-A61E-C2CCBBA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12</cp:revision>
  <cp:lastPrinted>2023-01-29T18:25:00Z</cp:lastPrinted>
  <dcterms:created xsi:type="dcterms:W3CDTF">2023-11-20T12:29:00Z</dcterms:created>
  <dcterms:modified xsi:type="dcterms:W3CDTF">2025-06-13T11:14:00Z</dcterms:modified>
</cp:coreProperties>
</file>