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0897" w14:textId="77777777" w:rsidR="009E4EC8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5326E3C" w14:textId="77777777" w:rsidR="009E4EC8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0ABBC46C" w14:textId="77777777" w:rsidR="009E4EC8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606B27CB" w14:textId="77777777" w:rsidR="009E4EC8" w:rsidRDefault="009E4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E2784E" w14:textId="77777777" w:rsidR="009E4EC8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502E0ED8" w14:textId="77777777" w:rsidR="009E4EC8" w:rsidRDefault="009E4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FC4B64" w14:textId="77777777" w:rsidR="009E4EC8" w:rsidRDefault="009E4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E4E36B" w14:textId="1ECFD96B" w:rsidR="009E4EC8" w:rsidRDefault="00000000">
      <w:pPr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DC6130">
        <w:rPr>
          <w:rFonts w:ascii="Times New Roman" w:hAnsi="Times New Roman"/>
          <w:b/>
          <w:color w:val="auto"/>
          <w:sz w:val="28"/>
          <w:szCs w:val="28"/>
        </w:rPr>
        <w:t>30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сентября 202</w:t>
      </w:r>
      <w:r w:rsidR="00DC6130">
        <w:rPr>
          <w:rFonts w:ascii="Times New Roman" w:hAnsi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          № </w:t>
      </w:r>
      <w:r w:rsidR="00DC6130">
        <w:rPr>
          <w:rFonts w:ascii="Times New Roman" w:hAnsi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</w:p>
    <w:p w14:paraId="65F53A2A" w14:textId="77777777" w:rsidR="009E4EC8" w:rsidRDefault="009E4EC8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0BC5433D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методики прогнозирования</w:t>
      </w:r>
    </w:p>
    <w:p w14:paraId="29B136CE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налоговых и неналоговых доходов</w:t>
      </w:r>
    </w:p>
    <w:p w14:paraId="0E9046CB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бюджета муниципального образования</w:t>
      </w:r>
    </w:p>
    <w:p w14:paraId="19BB94E1" w14:textId="77777777" w:rsidR="008D4936" w:rsidRDefault="00DC61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6130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DC6130">
        <w:rPr>
          <w:rFonts w:ascii="Times New Roman" w:hAnsi="Times New Roman" w:cs="Times New Roman"/>
          <w:b/>
          <w:color w:val="auto"/>
          <w:sz w:val="28"/>
          <w:szCs w:val="28"/>
        </w:rPr>
        <w:t>Верхнелюбажск</w:t>
      </w:r>
      <w:r w:rsidR="008D4936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proofErr w:type="spellEnd"/>
      <w:r w:rsidR="008D49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</w:t>
      </w:r>
      <w:r w:rsidRPr="00DC61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Фатежского </w:t>
      </w:r>
      <w:r w:rsidR="008D4936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DC6130">
        <w:rPr>
          <w:rFonts w:ascii="Times New Roman" w:hAnsi="Times New Roman" w:cs="Times New Roman"/>
          <w:b/>
          <w:color w:val="auto"/>
          <w:sz w:val="28"/>
          <w:szCs w:val="28"/>
        </w:rPr>
        <w:t>айона</w:t>
      </w:r>
    </w:p>
    <w:p w14:paraId="0EE9A2E3" w14:textId="15091D74" w:rsidR="009E4EC8" w:rsidRDefault="00DC613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Курской области для построения </w:t>
      </w:r>
    </w:p>
    <w:p w14:paraId="341AA9FE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межбюджетных отношений между бюджетом</w:t>
      </w:r>
    </w:p>
    <w:p w14:paraId="7DF852B5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Верхнелюбажский</w:t>
      </w:r>
      <w:proofErr w:type="spellEnd"/>
    </w:p>
    <w:p w14:paraId="3A89D700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сельсовет», областным бюджетом и бюджетом</w:t>
      </w:r>
    </w:p>
    <w:p w14:paraId="5509EE8B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 «Фатежский район» </w:t>
      </w:r>
    </w:p>
    <w:p w14:paraId="791138A3" w14:textId="48763FDA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Курской области на 202</w:t>
      </w:r>
      <w:r w:rsidR="00DC613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 и </w:t>
      </w:r>
    </w:p>
    <w:p w14:paraId="24B6C5DE" w14:textId="2484532F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плановый период 202</w:t>
      </w:r>
      <w:r w:rsidR="00DC6130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202</w:t>
      </w:r>
      <w:r w:rsidR="00DC61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годов.</w:t>
      </w:r>
    </w:p>
    <w:p w14:paraId="12D1AAD8" w14:textId="77777777" w:rsidR="009E4EC8" w:rsidRDefault="009E4EC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5EB91E"/>
          <w:sz w:val="28"/>
          <w:szCs w:val="28"/>
        </w:rPr>
      </w:pPr>
    </w:p>
    <w:p w14:paraId="1093E81A" w14:textId="1C24AF3C" w:rsidR="009E4EC8" w:rsidRDefault="00000000">
      <w:pPr>
        <w:pStyle w:val="ConsPlusNormal"/>
        <w:widowControl/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повышения качества бюджетного процесса и обеспечения сбалансированности и устойчивости бюджета муниципального образования </w:t>
      </w:r>
      <w:bookmarkStart w:id="0" w:name="_Hlk179811504"/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Верхнелюбажск</w:t>
      </w:r>
      <w:r w:rsidR="00DC6130">
        <w:rPr>
          <w:rFonts w:ascii="Times New Roman" w:hAnsi="Times New Roman" w:cs="Times New Roman"/>
          <w:color w:val="auto"/>
          <w:sz w:val="28"/>
          <w:szCs w:val="28"/>
        </w:rPr>
        <w:t>ое</w:t>
      </w:r>
      <w:proofErr w:type="spellEnd"/>
      <w:r w:rsidR="00DC6130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>» Фатежского</w:t>
      </w:r>
      <w:r w:rsidR="00DC613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Курской области  приказываю:</w:t>
      </w:r>
    </w:p>
    <w:p w14:paraId="153BF9CD" w14:textId="33B7C147" w:rsidR="009E4EC8" w:rsidRDefault="00000000">
      <w:pPr>
        <w:pStyle w:val="ConsPlusNormal"/>
        <w:widowControl/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прилагаемую методику прогнозирования налоговых и не налоговых доходов бюджета муниципального образования </w:t>
      </w:r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>Верхнелюба</w:t>
      </w:r>
      <w:r w:rsidR="008D4936">
        <w:rPr>
          <w:rFonts w:ascii="Times New Roman" w:hAnsi="Times New Roman" w:cs="Times New Roman"/>
          <w:color w:val="auto"/>
          <w:sz w:val="28"/>
          <w:szCs w:val="28"/>
        </w:rPr>
        <w:t>жский</w:t>
      </w:r>
      <w:proofErr w:type="spellEnd"/>
      <w:r w:rsidR="008D49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 xml:space="preserve">» Фатежского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Курской области для построения межбюджетных отношений между бюджетом муниципального образования, областным бюджетом и бюджетом муниципального района на 202</w:t>
      </w:r>
      <w:r w:rsidR="001E4EBE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- 202</w:t>
      </w:r>
      <w:r w:rsidR="001E4EBE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38EAE479" w14:textId="60AE2060" w:rsidR="009E4EC8" w:rsidRDefault="00000000">
      <w:pPr>
        <w:pStyle w:val="ConsPlusNormal"/>
        <w:widowControl/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Начальнику отдела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Фатежского района осуществить прогнозирование доходов    бюджета муниципального образования </w:t>
      </w:r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>Верхнелюбажск</w:t>
      </w:r>
      <w:r w:rsidR="008D4936">
        <w:rPr>
          <w:rFonts w:ascii="Times New Roman" w:hAnsi="Times New Roman" w:cs="Times New Roman"/>
          <w:color w:val="auto"/>
          <w:sz w:val="28"/>
          <w:szCs w:val="28"/>
        </w:rPr>
        <w:t>ий</w:t>
      </w:r>
      <w:proofErr w:type="spellEnd"/>
      <w:r w:rsidR="008D49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1E4EBE" w:rsidRPr="001E4EBE">
        <w:rPr>
          <w:rFonts w:ascii="Times New Roman" w:hAnsi="Times New Roman" w:cs="Times New Roman"/>
          <w:color w:val="auto"/>
          <w:sz w:val="28"/>
          <w:szCs w:val="28"/>
        </w:rPr>
        <w:t>» Фатежского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для построения межбюджетных отношений между бюджетом муниципального образования, областным бюджетом и бюджетом муниципального района на 202</w:t>
      </w:r>
      <w:r w:rsidR="001E4EBE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- 202</w:t>
      </w:r>
      <w:r w:rsidR="001E4EBE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 в соответствии с утвержденной методикой.</w:t>
      </w:r>
    </w:p>
    <w:p w14:paraId="264BB5DF" w14:textId="77777777" w:rsidR="009E4EC8" w:rsidRDefault="00000000">
      <w:pPr>
        <w:pStyle w:val="ConsPlusNormal"/>
        <w:widowControl/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Контроль за исполнением настоящего распоряжения оставляю за собой.</w:t>
      </w:r>
    </w:p>
    <w:p w14:paraId="418D0387" w14:textId="77777777" w:rsidR="009E4EC8" w:rsidRDefault="00000000">
      <w:pPr>
        <w:pStyle w:val="ConsPlusNormal"/>
        <w:widowControl/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Распоряжение  вступает в силу со дня его подписания.</w:t>
      </w:r>
    </w:p>
    <w:p w14:paraId="59CD31E0" w14:textId="77777777" w:rsidR="009E4EC8" w:rsidRDefault="009E4EC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FF446E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        </w:t>
      </w:r>
    </w:p>
    <w:p w14:paraId="6EF0F292" w14:textId="77777777" w:rsidR="009E4EC8" w:rsidRDefault="00000000">
      <w:pPr>
        <w:pStyle w:val="ConsPlusNormal"/>
        <w:widowControl/>
        <w:ind w:firstLine="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Фатежского района                                                                        Н.Н. Скиба</w:t>
      </w:r>
    </w:p>
    <w:p w14:paraId="2C96B73D" w14:textId="77777777" w:rsidR="009E4EC8" w:rsidRDefault="009E4EC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5EB91E"/>
          <w:sz w:val="28"/>
          <w:szCs w:val="28"/>
        </w:rPr>
      </w:pPr>
    </w:p>
    <w:p w14:paraId="2D005DBA" w14:textId="77777777" w:rsidR="009E4EC8" w:rsidRDefault="0000000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021875C0" w14:textId="05C65599" w:rsidR="009E4EC8" w:rsidRDefault="001E4E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7F69FDAB" w14:textId="77777777" w:rsidR="009E4EC8" w:rsidRDefault="00000000">
      <w:pPr>
        <w:pStyle w:val="ConsPlusNormal"/>
        <w:widowControl/>
        <w:ind w:firstLine="54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Верхнелюбажского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0358ECC" w14:textId="77777777" w:rsidR="009E4EC8" w:rsidRDefault="00000000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07878B5D" w14:textId="131CF538" w:rsidR="009E4EC8" w:rsidRDefault="00000000" w:rsidP="008D493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1E4EBE">
        <w:rPr>
          <w:rFonts w:ascii="Times New Roman" w:hAnsi="Times New Roman" w:cs="Times New Roman"/>
          <w:color w:val="auto"/>
          <w:sz w:val="24"/>
          <w:szCs w:val="24"/>
        </w:rPr>
        <w:t>30</w:t>
      </w:r>
      <w:r>
        <w:rPr>
          <w:rFonts w:ascii="Times New Roman" w:hAnsi="Times New Roman" w:cs="Times New Roman"/>
          <w:color w:val="auto"/>
          <w:sz w:val="24"/>
          <w:szCs w:val="24"/>
        </w:rPr>
        <w:t>.09.202</w:t>
      </w:r>
      <w:r w:rsidR="001E4EBE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года № </w:t>
      </w:r>
      <w:r w:rsidR="001E4EBE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</w:p>
    <w:p w14:paraId="75FA16F2" w14:textId="77777777" w:rsidR="009E4EC8" w:rsidRDefault="009E4EC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64F298B" w14:textId="77777777" w:rsidR="009E4EC8" w:rsidRDefault="009E4EC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14:paraId="75F97510" w14:textId="77777777" w:rsidR="009E4EC8" w:rsidRDefault="00000000">
      <w:pPr>
        <w:shd w:val="clear" w:color="auto" w:fill="FFFFFF"/>
        <w:spacing w:after="0" w:line="240" w:lineRule="auto"/>
        <w:ind w:right="-1"/>
        <w:jc w:val="center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Методика</w:t>
      </w:r>
    </w:p>
    <w:p w14:paraId="7E0CD029" w14:textId="4D86A14E" w:rsidR="009E4EC8" w:rsidRDefault="00000000">
      <w:pPr>
        <w:shd w:val="clear" w:color="auto" w:fill="FFFFFF"/>
        <w:spacing w:after="0" w:line="240" w:lineRule="auto"/>
        <w:ind w:right="-1"/>
        <w:jc w:val="center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прогнозирования налоговых и неналоговых доходов  бюджета муниципального образования </w:t>
      </w:r>
      <w:r w:rsidR="001E4EBE" w:rsidRPr="001E4EBE"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spellStart"/>
      <w:r w:rsidR="001E4EBE" w:rsidRPr="001E4EBE">
        <w:rPr>
          <w:rFonts w:ascii="Times New Roman" w:hAnsi="Times New Roman"/>
          <w:b/>
          <w:color w:val="auto"/>
          <w:sz w:val="28"/>
          <w:szCs w:val="28"/>
        </w:rPr>
        <w:t>Верхнелюбажск</w:t>
      </w:r>
      <w:r w:rsidR="008D4936">
        <w:rPr>
          <w:rFonts w:ascii="Times New Roman" w:hAnsi="Times New Roman"/>
          <w:b/>
          <w:color w:val="auto"/>
          <w:sz w:val="28"/>
          <w:szCs w:val="28"/>
        </w:rPr>
        <w:t>ий</w:t>
      </w:r>
      <w:proofErr w:type="spellEnd"/>
      <w:r w:rsidR="008D4936">
        <w:rPr>
          <w:rFonts w:ascii="Times New Roman" w:hAnsi="Times New Roman"/>
          <w:b/>
          <w:color w:val="auto"/>
          <w:sz w:val="28"/>
          <w:szCs w:val="28"/>
        </w:rPr>
        <w:t xml:space="preserve"> сельсовет</w:t>
      </w:r>
      <w:r w:rsidR="001E4EBE" w:rsidRPr="001E4EBE">
        <w:rPr>
          <w:rFonts w:ascii="Times New Roman" w:hAnsi="Times New Roman"/>
          <w:b/>
          <w:color w:val="auto"/>
          <w:sz w:val="28"/>
          <w:szCs w:val="28"/>
        </w:rPr>
        <w:t xml:space="preserve">» Фатежского района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Курской области для построения межбюджетных отношений между областным бюджетом и бюджетом муниципального </w:t>
      </w:r>
      <w:r w:rsidR="008D4936">
        <w:rPr>
          <w:rFonts w:ascii="Times New Roman" w:hAnsi="Times New Roman"/>
          <w:b/>
          <w:color w:val="auto"/>
          <w:sz w:val="28"/>
          <w:szCs w:val="28"/>
        </w:rPr>
        <w:t>образования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на 202</w:t>
      </w:r>
      <w:r w:rsidR="001E4EBE">
        <w:rPr>
          <w:rFonts w:ascii="Times New Roman" w:hAnsi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и на плановый период 202</w:t>
      </w:r>
      <w:r w:rsidR="001E4EBE">
        <w:rPr>
          <w:rFonts w:ascii="Times New Roman" w:hAnsi="Times New Roman"/>
          <w:b/>
          <w:color w:val="auto"/>
          <w:sz w:val="28"/>
          <w:szCs w:val="28"/>
        </w:rPr>
        <w:t>6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и 202</w:t>
      </w:r>
      <w:r w:rsidR="001E4EBE">
        <w:rPr>
          <w:rFonts w:ascii="Times New Roman" w:hAnsi="Times New Roman"/>
          <w:b/>
          <w:color w:val="auto"/>
          <w:sz w:val="28"/>
          <w:szCs w:val="28"/>
        </w:rPr>
        <w:t>7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годов.</w:t>
      </w:r>
    </w:p>
    <w:p w14:paraId="4C9A9DB8" w14:textId="77777777" w:rsidR="009E4EC8" w:rsidRDefault="009E4EC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2A17A2D" w14:textId="76EC0C75" w:rsidR="009E4EC8" w:rsidRDefault="00000000">
      <w:pPr>
        <w:shd w:val="clear" w:color="auto" w:fill="FFFFFF"/>
        <w:spacing w:after="0" w:line="240" w:lineRule="auto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Доходная база консолидированного бюджета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Фатежского района Курской области на  202</w:t>
      </w:r>
      <w:r w:rsidR="00196D13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- 202</w:t>
      </w:r>
      <w:r w:rsidR="00196D13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67D9047C" w14:textId="77777777" w:rsidR="009E4EC8" w:rsidRDefault="00000000">
      <w:pPr>
        <w:shd w:val="clear" w:color="auto" w:fill="FFFFFF"/>
        <w:spacing w:after="0" w:line="240" w:lineRule="auto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сельсовет». </w:t>
      </w:r>
    </w:p>
    <w:p w14:paraId="0B8DF7B8" w14:textId="77777777" w:rsidR="009E4EC8" w:rsidRDefault="00000000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2B1639B4" w14:textId="77BD6492" w:rsidR="008D4936" w:rsidRDefault="008D493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D4936">
        <w:rPr>
          <w:rFonts w:ascii="Times New Roman" w:hAnsi="Times New Roman"/>
          <w:color w:val="auto"/>
          <w:sz w:val="28"/>
          <w:szCs w:val="28"/>
        </w:rPr>
        <w:t>Для отражения налога на доходы физических лиц в связи с применением прогрессивной шкалы, определенной Федеральным законом от 12 июля 2024 г. №2 176-ФЗ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Федеральный закон № 176-ФЗ) проектом приказа Министерства финансов Российской Федерации "О внесении изменений в приказ Министерства финансов Российской Федерации "Об утверждении кодов (перечней кодов) бюджетной классификации Российской Федерации на 2025 год (на 2025 год и на плановый период 2026 и 2027 годов)" (далее - Проект приказа № 85н) предусмотрены коды классификации доходов бюджетов.</w:t>
      </w:r>
    </w:p>
    <w:p w14:paraId="1BCCCA55" w14:textId="77777777" w:rsidR="003D5AEA" w:rsidRPr="008D4936" w:rsidRDefault="003D5AE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0650C2F" w14:textId="77777777" w:rsidR="009E4EC8" w:rsidRDefault="00000000">
      <w:pPr>
        <w:ind w:right="-1" w:firstLine="709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/>
          <w:b/>
          <w:color w:val="auto"/>
          <w:sz w:val="28"/>
          <w:szCs w:val="28"/>
        </w:rPr>
        <w:t>(код 1 01 02000 01 0000 110)</w:t>
      </w:r>
    </w:p>
    <w:p w14:paraId="4A83C946" w14:textId="157810D3" w:rsidR="00196D13" w:rsidRDefault="00196D13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D13">
        <w:rPr>
          <w:rFonts w:ascii="Times New Roman" w:hAnsi="Times New Roman" w:cs="Times New Roman"/>
          <w:color w:val="auto"/>
          <w:sz w:val="28"/>
          <w:szCs w:val="28"/>
        </w:rPr>
        <w:t xml:space="preserve">Прогноз налога на доходы физических лиц в 2025 - 2027 годах учитывается на основании сведений главного администратора налоговых </w:t>
      </w:r>
      <w:r w:rsidRPr="00196D13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доходов бюджета - УФНС России по Курской области.</w:t>
      </w:r>
    </w:p>
    <w:p w14:paraId="75E7615D" w14:textId="77777777" w:rsidR="00995604" w:rsidRP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Для расчёта налога на доходы физических лиц использованы показатели:</w:t>
      </w:r>
    </w:p>
    <w:p w14:paraId="488F1443" w14:textId="77777777" w:rsidR="00995604" w:rsidRP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95604">
        <w:rPr>
          <w:rFonts w:ascii="Times New Roman" w:hAnsi="Times New Roman" w:cs="Times New Roman"/>
          <w:color w:val="auto"/>
          <w:sz w:val="28"/>
          <w:szCs w:val="28"/>
        </w:rPr>
        <w:tab/>
        <w:t>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34092256" w14:textId="77777777" w:rsidR="00995604" w:rsidRP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95604">
        <w:rPr>
          <w:rFonts w:ascii="Times New Roman" w:hAnsi="Times New Roman" w:cs="Times New Roman"/>
          <w:color w:val="auto"/>
          <w:sz w:val="28"/>
          <w:szCs w:val="28"/>
        </w:rPr>
        <w:tab/>
        <w:t>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0A67FC2E" w14:textId="5D770878" w:rsid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95604">
        <w:rPr>
          <w:rFonts w:ascii="Times New Roman" w:hAnsi="Times New Roman" w:cs="Times New Roman"/>
          <w:color w:val="auto"/>
          <w:sz w:val="28"/>
          <w:szCs w:val="28"/>
        </w:rPr>
        <w:tab/>
        <w:t>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периоды; </w:t>
      </w:r>
    </w:p>
    <w:p w14:paraId="4DF73892" w14:textId="77777777" w:rsidR="00995604" w:rsidRP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95604">
        <w:rPr>
          <w:rFonts w:ascii="Times New Roman" w:hAnsi="Times New Roman" w:cs="Times New Roman"/>
          <w:color w:val="auto"/>
          <w:sz w:val="28"/>
          <w:szCs w:val="28"/>
        </w:rPr>
        <w:tab/>
        <w:t>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466884AF" w14:textId="2042246A" w:rsid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560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95604">
        <w:rPr>
          <w:rFonts w:ascii="Times New Roman" w:hAnsi="Times New Roman" w:cs="Times New Roman"/>
          <w:color w:val="auto"/>
          <w:sz w:val="28"/>
          <w:szCs w:val="28"/>
        </w:rPr>
        <w:tab/>
        <w:t>динамики налоговых вычетов по налогу по форме 1-ДДК «Отчет о декларировании доходов физическими лицами».</w:t>
      </w:r>
    </w:p>
    <w:p w14:paraId="31738CE4" w14:textId="77777777" w:rsidR="00995604" w:rsidRDefault="00995604" w:rsidP="00995604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D25D34" w14:textId="77777777" w:rsidR="009E4EC8" w:rsidRDefault="00000000">
      <w:pPr>
        <w:pStyle w:val="1"/>
        <w:ind w:right="-1" w:firstLine="709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</w:rPr>
        <w:t>Единый сельскохозяйственный налог (код 1 05 03010 01 0000 110)</w:t>
      </w:r>
    </w:p>
    <w:p w14:paraId="5C5A86F1" w14:textId="77777777" w:rsidR="00995604" w:rsidRDefault="00000000">
      <w:pPr>
        <w:ind w:right="-1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Прогноз поступлений налога </w:t>
      </w:r>
      <w:r w:rsidR="00995604" w:rsidRPr="00995604">
        <w:rPr>
          <w:rFonts w:ascii="Times New Roman" w:hAnsi="Times New Roman"/>
          <w:bCs/>
          <w:color w:val="auto"/>
          <w:sz w:val="28"/>
          <w:szCs w:val="28"/>
        </w:rPr>
        <w:t>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C3E25B9" w14:textId="1F11D222" w:rsidR="009E4EC8" w:rsidRDefault="00000000" w:rsidP="003D5AEA">
      <w:pPr>
        <w:spacing w:line="240" w:lineRule="auto"/>
        <w:jc w:val="both"/>
        <w:rPr>
          <w:color w:val="auto"/>
        </w:rPr>
      </w:pPr>
      <w:r w:rsidRPr="00995604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>Налог на имущество физических лиц (код 1 06 01000 00 0000 110)</w:t>
      </w:r>
    </w:p>
    <w:p w14:paraId="3739FAC1" w14:textId="77777777" w:rsidR="009E4EC8" w:rsidRDefault="009E4EC8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bCs/>
          <w:color w:val="auto"/>
        </w:rPr>
      </w:pPr>
    </w:p>
    <w:p w14:paraId="686D9DD7" w14:textId="128D9C13" w:rsidR="00A77574" w:rsidRDefault="00A77574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574">
        <w:rPr>
          <w:rFonts w:ascii="Times New Roman" w:hAnsi="Times New Roman"/>
          <w:color w:val="auto"/>
          <w:sz w:val="28"/>
          <w:szCs w:val="28"/>
        </w:rPr>
        <w:t>Поступление налога на имущество физических лиц в 2025 - 2027 годах учитывается на основании сведений главного администратора доходов областного бюджета - УФНС России но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7FEA1EBC" w14:textId="77777777" w:rsidR="009E4EC8" w:rsidRDefault="009E4EC8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color w:val="auto"/>
          <w:sz w:val="28"/>
          <w:szCs w:val="28"/>
        </w:rPr>
      </w:pPr>
    </w:p>
    <w:p w14:paraId="53AA1BB7" w14:textId="77777777" w:rsidR="009E4EC8" w:rsidRDefault="00000000">
      <w:pPr>
        <w:shd w:val="clear" w:color="auto" w:fill="FFFFFF"/>
        <w:spacing w:after="0" w:line="240" w:lineRule="auto"/>
        <w:ind w:right="-1" w:firstLine="85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Земельный налог (код 1 06 06000 00 0000 110)</w:t>
      </w:r>
    </w:p>
    <w:p w14:paraId="3FF61A6A" w14:textId="77777777" w:rsidR="009E4EC8" w:rsidRDefault="009E4EC8">
      <w:pPr>
        <w:shd w:val="clear" w:color="auto" w:fill="FFFFFF"/>
        <w:spacing w:after="0" w:line="240" w:lineRule="auto"/>
        <w:ind w:right="-1" w:firstLine="851"/>
        <w:jc w:val="both"/>
        <w:rPr>
          <w:b/>
          <w:bCs/>
          <w:color w:val="auto"/>
        </w:rPr>
      </w:pPr>
    </w:p>
    <w:p w14:paraId="1C975155" w14:textId="066C71A2" w:rsidR="00A77574" w:rsidRDefault="00A7757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574">
        <w:rPr>
          <w:rFonts w:ascii="Times New Roman" w:hAnsi="Times New Roman"/>
          <w:color w:val="auto"/>
          <w:sz w:val="28"/>
          <w:szCs w:val="28"/>
        </w:rPr>
        <w:t xml:space="preserve"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</w:t>
      </w:r>
      <w:r w:rsidRPr="00A77574">
        <w:rPr>
          <w:rFonts w:ascii="Times New Roman" w:hAnsi="Times New Roman"/>
          <w:color w:val="auto"/>
          <w:sz w:val="28"/>
          <w:szCs w:val="28"/>
        </w:rPr>
        <w:lastRenderedPageBreak/>
        <w:t>базы и налоговой ставки, а также других показателей (уровень переходящих платежей, уровень собираемости и др.).</w:t>
      </w:r>
    </w:p>
    <w:p w14:paraId="54A6FFD1" w14:textId="77777777" w:rsidR="003D5AEA" w:rsidRDefault="003D5AEA" w:rsidP="000968A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0C8E9BD" w14:textId="77777777" w:rsidR="009E4EC8" w:rsidRDefault="00000000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(коды 1 11 05024 04 0000 120; 1 11 05025 05 0000 120; 1 11 05025 10 0000 120; 1 11 05025 13 0000 120)</w:t>
      </w:r>
    </w:p>
    <w:p w14:paraId="56BBAF8E" w14:textId="77777777" w:rsidR="009E4EC8" w:rsidRDefault="009E4E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color w:val="auto"/>
        </w:rPr>
      </w:pPr>
    </w:p>
    <w:p w14:paraId="794AC7C1" w14:textId="65D604B3" w:rsidR="009E4EC8" w:rsidRDefault="00000000">
      <w:pPr>
        <w:shd w:val="clear" w:color="auto" w:fill="FFFFFF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Поступление арендной платы за земли на 202</w:t>
      </w:r>
      <w:r w:rsidR="000968A2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 w:rsidR="000968A2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годы прогнозируется на уровне ожидаемого поступления доходов в 202</w:t>
      </w:r>
      <w:r w:rsidR="000968A2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44DE29E7" w14:textId="1D35DE8E" w:rsidR="009E4EC8" w:rsidRDefault="00000000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</w:t>
      </w:r>
      <w:r w:rsidR="000968A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0968A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и в 1 полугодии 202</w:t>
      </w:r>
      <w:r w:rsidR="000968A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19FA6740" w14:textId="77777777" w:rsidR="009E4EC8" w:rsidRDefault="009E4E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</w:p>
    <w:p w14:paraId="3657BE0B" w14:textId="77777777" w:rsidR="009E4EC8" w:rsidRDefault="0000000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(код 1 11 05030 00 0000 120)</w:t>
      </w:r>
    </w:p>
    <w:p w14:paraId="583B5C2E" w14:textId="77777777" w:rsidR="002A409E" w:rsidRDefault="002A409E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auto"/>
        </w:rPr>
      </w:pPr>
    </w:p>
    <w:p w14:paraId="32C6FD69" w14:textId="77777777" w:rsidR="000968A2" w:rsidRPr="000968A2" w:rsidRDefault="000968A2" w:rsidP="000968A2">
      <w:pPr>
        <w:pStyle w:val="ConsNormal"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8A2">
        <w:rPr>
          <w:rFonts w:ascii="Times New Roman" w:hAnsi="Times New Roman" w:cs="Times New Roman"/>
          <w:color w:val="auto"/>
          <w:sz w:val="28"/>
          <w:szCs w:val="28"/>
        </w:rPr>
        <w:t>Поступление доходов в местные бюджеты в 2025 – 2027  годах                   (коды 1 11 05035 05 0000 120) прогнозируется на уровне ожидаемого поступления в 2024 году.</w:t>
      </w:r>
    </w:p>
    <w:p w14:paraId="2C0AE382" w14:textId="16F469DB" w:rsidR="009E4EC8" w:rsidRDefault="000968A2" w:rsidP="000968A2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8A2"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2024 году рассчитывается исходя из фактического поступления доходов в 2023 году с учетом фактических поступлений в 1 полугодии 2024 года. В случае превышения фактических поступлений 1 полугодия 2024 года над фактическими поступлениями доходов в 2023 году, в расчет принимается фактическое поступление доходов в первом полугодии 2024 года.</w:t>
      </w:r>
    </w:p>
    <w:p w14:paraId="0DFFA792" w14:textId="77777777" w:rsidR="000968A2" w:rsidRDefault="000968A2" w:rsidP="000968A2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38C6CCD1" w14:textId="77777777" w:rsidR="009E4EC8" w:rsidRDefault="00000000">
      <w:pPr>
        <w:shd w:val="clear" w:color="auto" w:fill="FFFFFF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(код 1 13 00000 00 0000 000)</w:t>
      </w:r>
    </w:p>
    <w:p w14:paraId="6959A52E" w14:textId="77777777" w:rsidR="00841573" w:rsidRPr="00841573" w:rsidRDefault="00841573" w:rsidP="00841573">
      <w:pPr>
        <w:shd w:val="clear" w:color="auto" w:fill="FFFFFF"/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 w:rsidRPr="00841573">
        <w:rPr>
          <w:rFonts w:ascii="Times New Roman" w:hAnsi="Times New Roman"/>
          <w:color w:val="000000"/>
          <w:sz w:val="28"/>
          <w:szCs w:val="28"/>
        </w:rPr>
        <w:t xml:space="preserve">(код </w:t>
      </w:r>
      <w:r w:rsidRPr="00841573">
        <w:rPr>
          <w:rFonts w:ascii="Times New Roman" w:hAnsi="Times New Roman"/>
          <w:snapToGrid w:val="0"/>
          <w:color w:val="000000"/>
          <w:sz w:val="28"/>
          <w:szCs w:val="28"/>
        </w:rPr>
        <w:t>1 13 00000 00 0000 000</w:t>
      </w:r>
      <w:r w:rsidRPr="0084157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41573">
        <w:rPr>
          <w:rFonts w:ascii="Times New Roman" w:hAnsi="Times New Roman"/>
          <w:bCs/>
          <w:color w:val="000000"/>
          <w:sz w:val="28"/>
          <w:szCs w:val="28"/>
        </w:rPr>
        <w:t xml:space="preserve">в местные бюджеты </w:t>
      </w:r>
      <w:r w:rsidRPr="00841573">
        <w:rPr>
          <w:rFonts w:ascii="Times New Roman" w:hAnsi="Times New Roman"/>
          <w:color w:val="000000"/>
          <w:sz w:val="28"/>
          <w:szCs w:val="28"/>
        </w:rPr>
        <w:t>на 2025 – 2027 годы прогнозируется на уровне ожидаемого поступления доходов в 2024 году.</w:t>
      </w:r>
    </w:p>
    <w:p w14:paraId="2F22C32F" w14:textId="77777777" w:rsidR="00841573" w:rsidRPr="00841573" w:rsidRDefault="00841573" w:rsidP="00841573">
      <w:pPr>
        <w:tabs>
          <w:tab w:val="left" w:pos="6521"/>
        </w:tabs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>Ожидаемое поступление в 2024 году рассчитывается исходя из фактического поступления доходов во 2 полугодии 2023 года и в 1 полугодии 2024 года.</w:t>
      </w:r>
    </w:p>
    <w:p w14:paraId="0D428ECD" w14:textId="77777777" w:rsidR="00841573" w:rsidRDefault="00841573">
      <w:pPr>
        <w:shd w:val="clear" w:color="auto" w:fill="FFFFFF"/>
        <w:ind w:right="-1" w:firstLine="709"/>
        <w:jc w:val="both"/>
        <w:rPr>
          <w:color w:val="auto"/>
        </w:rPr>
      </w:pPr>
    </w:p>
    <w:p w14:paraId="5BA42944" w14:textId="77777777" w:rsidR="009E4EC8" w:rsidRDefault="009E4EC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B420038" w14:textId="77777777" w:rsidR="00841573" w:rsidRPr="00841573" w:rsidRDefault="00841573" w:rsidP="00841573">
      <w:pPr>
        <w:tabs>
          <w:tab w:val="left" w:pos="709"/>
          <w:tab w:val="left" w:pos="851"/>
        </w:tabs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auto"/>
          <w:spacing w:val="-14"/>
          <w:sz w:val="28"/>
          <w:szCs w:val="28"/>
        </w:rPr>
      </w:pPr>
      <w:r w:rsidRPr="00841573">
        <w:rPr>
          <w:rFonts w:ascii="Times New Roman" w:hAnsi="Times New Roman"/>
          <w:b/>
          <w:bCs/>
          <w:color w:val="auto"/>
          <w:spacing w:val="-14"/>
          <w:sz w:val="28"/>
          <w:szCs w:val="28"/>
        </w:rPr>
        <w:lastRenderedPageBreak/>
        <w:t xml:space="preserve">Штрафы, санкции, возмещение ущерба </w:t>
      </w:r>
      <w:r w:rsidRPr="00841573">
        <w:rPr>
          <w:rFonts w:ascii="Times New Roman" w:hAnsi="Times New Roman"/>
          <w:bCs/>
          <w:color w:val="auto"/>
          <w:spacing w:val="-14"/>
          <w:sz w:val="28"/>
          <w:szCs w:val="28"/>
        </w:rPr>
        <w:t>(код 1 16 00000 00 0000 000)</w:t>
      </w:r>
    </w:p>
    <w:p w14:paraId="3E0F5363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 xml:space="preserve">Поступление платежей в местные бюджеты в 2025-2027 годах по кодам бюджетной классификации 1 16 01053 01 0000 140; 1 16 01063 01 0000 140;           1 16 01073 01 0000 140;  </w:t>
      </w:r>
      <w:r w:rsidRPr="00841573">
        <w:rPr>
          <w:rFonts w:ascii="Times New Roman" w:hAnsi="Times New Roman"/>
          <w:snapToGrid w:val="0"/>
          <w:color w:val="000000"/>
          <w:sz w:val="28"/>
          <w:szCs w:val="28"/>
        </w:rPr>
        <w:t>1 16 01074 01 0000 140;</w:t>
      </w:r>
      <w:r w:rsidRPr="00841573">
        <w:rPr>
          <w:rFonts w:ascii="Times New Roman" w:hAnsi="Times New Roman"/>
          <w:color w:val="000000"/>
          <w:sz w:val="28"/>
          <w:szCs w:val="28"/>
        </w:rPr>
        <w:t xml:space="preserve">  1 16 01083 01 0000 140;                  1 16 01084 01 0000 140;  1 16 01093 01 0000 140;  1 16 01103 01 0000 140;                  1 16  01113 01 0000 140; 1 16 01133 01 0000 140;  1 16 01153 01 0000 140;</w:t>
      </w:r>
    </w:p>
    <w:p w14:paraId="6CFEDE25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 xml:space="preserve">1 16 01157 01 0000 140;  1 16 01173 01 0000 140;  1 16 01193 01 0000 140; </w:t>
      </w:r>
    </w:p>
    <w:p w14:paraId="089D21D6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 xml:space="preserve">1 16 01194 01 0000 160;  1 16 01203 01 0000 140;  1 16 02023 02 0000 140; </w:t>
      </w:r>
    </w:p>
    <w:p w14:paraId="0F27D3E8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 xml:space="preserve">1 16 07010 00 0000 140;  1 16 07090 00 0000 140;  1 16 10031 04 0000 140;                 1 16 10031 05 0000 140;  1 16 10032 05 0000 140;  </w:t>
      </w:r>
      <w:r w:rsidRPr="00841573">
        <w:rPr>
          <w:rFonts w:ascii="Times New Roman" w:hAnsi="Times New Roman"/>
          <w:snapToGrid w:val="0"/>
          <w:color w:val="000000"/>
          <w:sz w:val="28"/>
          <w:szCs w:val="28"/>
        </w:rPr>
        <w:t xml:space="preserve">1 16 10032 10 0000 140;   </w:t>
      </w:r>
    </w:p>
    <w:p w14:paraId="05F91180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1573">
        <w:rPr>
          <w:rFonts w:ascii="Times New Roman" w:hAnsi="Times New Roman"/>
          <w:snapToGrid w:val="0"/>
          <w:color w:val="000000"/>
          <w:sz w:val="28"/>
          <w:szCs w:val="28"/>
        </w:rPr>
        <w:t>1 16 10100 05 0000 140;  1 16 10100 10 0000 140;  1 16 11050 01 0000 140;</w:t>
      </w:r>
    </w:p>
    <w:p w14:paraId="3F21010A" w14:textId="77777777" w:rsidR="00841573" w:rsidRPr="00841573" w:rsidRDefault="00841573" w:rsidP="00841573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-1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1573">
        <w:rPr>
          <w:rFonts w:ascii="Times New Roman" w:hAnsi="Times New Roman"/>
          <w:snapToGrid w:val="0"/>
          <w:color w:val="000000"/>
          <w:sz w:val="28"/>
          <w:szCs w:val="28"/>
        </w:rPr>
        <w:t>1 16 11064 01 0000 140</w:t>
      </w:r>
      <w:r w:rsidRPr="00841573">
        <w:rPr>
          <w:rFonts w:ascii="Times New Roman" w:hAnsi="Times New Roman"/>
          <w:color w:val="auto"/>
          <w:sz w:val="28"/>
          <w:szCs w:val="28"/>
        </w:rPr>
        <w:t xml:space="preserve"> прогнозируется на уровне ожидаемого поступления доходов в 2024 году, которое рассчитывается на уровне удвоенного фактического поступления доходов в 1 полугодии 2024 года.</w:t>
      </w:r>
    </w:p>
    <w:p w14:paraId="7031B68B" w14:textId="77777777" w:rsidR="00841573" w:rsidRPr="00841573" w:rsidRDefault="00841573" w:rsidP="00841573">
      <w:pPr>
        <w:shd w:val="clear" w:color="auto" w:fill="FFFFFF"/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573"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1D1394AE" w14:textId="77777777" w:rsidR="00841573" w:rsidRDefault="00841573">
      <w:pPr>
        <w:pStyle w:val="ConsNormal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54EB09" w14:textId="048FD60E" w:rsidR="009E4EC8" w:rsidRDefault="00000000">
      <w:pPr>
        <w:pStyle w:val="ConsNormal"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Инициативные платежи (код 1 17 15000 00 0000 150)</w:t>
      </w:r>
    </w:p>
    <w:p w14:paraId="53C96D18" w14:textId="77777777" w:rsidR="009E4EC8" w:rsidRDefault="00000000">
      <w:pPr>
        <w:pStyle w:val="ConsNormal"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6B0DBA" w14:textId="52D9F126" w:rsidR="009E4EC8" w:rsidRDefault="00000000">
      <w:pPr>
        <w:pStyle w:val="ConsNormal"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Поступление инициативных платежей в местные бюджеты в 202</w:t>
      </w:r>
      <w:r w:rsidR="00841573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 Поступление инициативных платежей в местный бюджет в 202</w:t>
      </w:r>
      <w:r w:rsidR="00841573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не планируется.</w:t>
      </w:r>
    </w:p>
    <w:p w14:paraId="32FA9ADF" w14:textId="2FEC6F10" w:rsidR="009E4EC8" w:rsidRDefault="00000000">
      <w:pPr>
        <w:pStyle w:val="ConsNormal"/>
        <w:shd w:val="clear" w:color="auto" w:fill="FFFFFF"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Поступление инициативных платежей в местный бюджет в 202</w:t>
      </w:r>
      <w:r w:rsidR="0084157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41573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годах не планируется.</w:t>
      </w:r>
    </w:p>
    <w:p w14:paraId="5314320E" w14:textId="77777777" w:rsidR="009E4EC8" w:rsidRPr="00DC6130" w:rsidRDefault="009E4E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5EB91E"/>
          <w:sz w:val="28"/>
          <w:szCs w:val="28"/>
        </w:rPr>
      </w:pPr>
    </w:p>
    <w:p w14:paraId="5B0690E1" w14:textId="77777777" w:rsidR="009E4EC8" w:rsidRDefault="009E4EC8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5F0F510" w14:textId="77777777" w:rsidR="009E4EC8" w:rsidRDefault="009E4EC8">
      <w:pPr>
        <w:spacing w:after="0" w:line="240" w:lineRule="auto"/>
        <w:ind w:firstLine="540"/>
        <w:jc w:val="both"/>
        <w:rPr>
          <w:rFonts w:ascii="Times New Roman" w:hAnsi="Times New Roman"/>
          <w:color w:val="5EB91E"/>
          <w:sz w:val="28"/>
          <w:szCs w:val="28"/>
        </w:rPr>
      </w:pPr>
    </w:p>
    <w:p w14:paraId="27F61AD1" w14:textId="77777777" w:rsidR="009E4EC8" w:rsidRDefault="009E4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6F79A7" w14:textId="77777777" w:rsidR="009E4EC8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О.М. Жердева</w:t>
      </w:r>
    </w:p>
    <w:sectPr w:rsidR="009E4EC8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B20B8"/>
    <w:multiLevelType w:val="multilevel"/>
    <w:tmpl w:val="E5406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076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EC8"/>
    <w:rsid w:val="000968A2"/>
    <w:rsid w:val="00196D13"/>
    <w:rsid w:val="001E4EBE"/>
    <w:rsid w:val="002A409E"/>
    <w:rsid w:val="00321002"/>
    <w:rsid w:val="003D5AEA"/>
    <w:rsid w:val="005A3EC4"/>
    <w:rsid w:val="00841573"/>
    <w:rsid w:val="008D4936"/>
    <w:rsid w:val="00995604"/>
    <w:rsid w:val="009E4EC8"/>
    <w:rsid w:val="00A77574"/>
    <w:rsid w:val="00D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6EC5"/>
  <w15:docId w15:val="{7CCBD3E0-3438-4480-B8D4-1D7F3EC0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basedOn w:val="a1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sid w:val="006D33FA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0"/>
    <w:qFormat/>
    <w:rsid w:val="006D33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6D33FA"/>
    <w:pPr>
      <w:spacing w:after="140"/>
    </w:pPr>
  </w:style>
  <w:style w:type="paragraph" w:styleId="a6">
    <w:name w:val="List"/>
    <w:basedOn w:val="a0"/>
    <w:rsid w:val="006D33FA"/>
    <w:rPr>
      <w:rFonts w:cs="Lucida Sans"/>
    </w:rPr>
  </w:style>
  <w:style w:type="paragraph" w:customStyle="1" w:styleId="10">
    <w:name w:val="Название объекта1"/>
    <w:basedOn w:val="a"/>
    <w:qFormat/>
    <w:rsid w:val="006D3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D33F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8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  <w:rsid w:val="006D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Пользователь</cp:lastModifiedBy>
  <cp:revision>64</cp:revision>
  <cp:lastPrinted>2020-11-16T15:53:00Z</cp:lastPrinted>
  <dcterms:created xsi:type="dcterms:W3CDTF">2019-09-03T11:28:00Z</dcterms:created>
  <dcterms:modified xsi:type="dcterms:W3CDTF">2024-10-29T12:36:00Z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