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A9" w:rsidRPr="003E33B7" w:rsidRDefault="00611AA9" w:rsidP="00A2336F">
      <w:pPr>
        <w:pStyle w:val="2"/>
        <w:keepLines/>
        <w:spacing w:after="0"/>
        <w:jc w:val="right"/>
        <w:rPr>
          <w:szCs w:val="28"/>
        </w:rPr>
      </w:pPr>
      <w:bookmarkStart w:id="0" w:name="_Toc493592576"/>
      <w:bookmarkStart w:id="1" w:name="_Toc517237495"/>
      <w:bookmarkStart w:id="2" w:name="_Toc517250468"/>
      <w:bookmarkStart w:id="3" w:name="_GoBack"/>
      <w:r w:rsidRPr="003E33B7">
        <w:rPr>
          <w:szCs w:val="28"/>
        </w:rPr>
        <w:t xml:space="preserve">Приложение </w:t>
      </w:r>
      <w:r w:rsidR="00A2336F" w:rsidRPr="003E33B7">
        <w:rPr>
          <w:szCs w:val="28"/>
        </w:rPr>
        <w:t>1</w:t>
      </w:r>
      <w:r w:rsidRPr="003E33B7">
        <w:rPr>
          <w:szCs w:val="28"/>
        </w:rPr>
        <w:t>4</w:t>
      </w:r>
    </w:p>
    <w:p w:rsidR="00A2336F" w:rsidRPr="003E33B7" w:rsidRDefault="00611AA9" w:rsidP="00611AA9">
      <w:pPr>
        <w:pStyle w:val="2"/>
        <w:keepLines/>
        <w:spacing w:after="0"/>
        <w:jc w:val="right"/>
        <w:rPr>
          <w:sz w:val="22"/>
        </w:rPr>
      </w:pPr>
      <w:r w:rsidRPr="003E33B7">
        <w:rPr>
          <w:szCs w:val="28"/>
        </w:rPr>
        <w:t xml:space="preserve">к </w:t>
      </w:r>
      <w:r w:rsidR="00A2336F" w:rsidRPr="003E33B7">
        <w:rPr>
          <w:szCs w:val="28"/>
        </w:rPr>
        <w:t>Концессионному соглашению</w:t>
      </w:r>
    </w:p>
    <w:p w:rsidR="00A2336F" w:rsidRPr="003E33B7" w:rsidRDefault="00A2336F" w:rsidP="00A2336F">
      <w:pPr>
        <w:pStyle w:val="2"/>
        <w:keepLines/>
        <w:jc w:val="center"/>
      </w:pPr>
      <w:r w:rsidRPr="003E33B7">
        <w:t xml:space="preserve"> </w:t>
      </w:r>
    </w:p>
    <w:p w:rsidR="00614E79" w:rsidRPr="00FD4AC5" w:rsidRDefault="00611AA9" w:rsidP="00A2336F">
      <w:pPr>
        <w:pStyle w:val="2"/>
        <w:keepLines/>
        <w:jc w:val="center"/>
        <w:rPr>
          <w:b w:val="0"/>
        </w:rPr>
      </w:pPr>
      <w:bookmarkStart w:id="4" w:name="_Ref493267487"/>
      <w:bookmarkEnd w:id="0"/>
      <w:bookmarkEnd w:id="1"/>
      <w:bookmarkEnd w:id="2"/>
      <w:bookmarkEnd w:id="3"/>
      <w:r>
        <w:t>ТРЕБОВАНИЯ К БАНКОВСКОЙ ГАРАНТИИ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6343"/>
      </w:tblGrid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0C7A64" w:rsidRPr="000C7A64" w:rsidRDefault="000C7A64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C7A6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Вид Банковской гарантии</w:t>
            </w:r>
          </w:p>
        </w:tc>
        <w:tc>
          <w:tcPr>
            <w:tcW w:w="6343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Безотзывная и непередаваемая Банковская гарантия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Default="000C7A64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C7A6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Требования к гаранту</w:t>
            </w:r>
          </w:p>
          <w:p w:rsidR="000C7A64" w:rsidRPr="000C7A64" w:rsidRDefault="000C7A64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43" w:type="dxa"/>
          </w:tcPr>
          <w:p w:rsidR="00614E79" w:rsidRPr="00FD4AC5" w:rsidRDefault="00614E79" w:rsidP="00276B9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Банковская гарантия должна быть выдана одной из следующих организаций: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2"/>
              </w:numPr>
              <w:spacing w:after="120"/>
              <w:ind w:left="459" w:hanging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международная финансовая организация, созданная в соответствии с международными договорами, участником которых является Российская Федерация;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2"/>
              </w:numPr>
              <w:spacing w:after="120"/>
              <w:ind w:left="459" w:hanging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международная финансовая организация, с которой Российская Федерация заключила международный договор;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2"/>
              </w:numPr>
              <w:spacing w:after="120"/>
              <w:ind w:left="459" w:hanging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государственная корпорация "Банк развития и внешнеэкономической деятельности (Внешэкономбанк)";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2"/>
              </w:numPr>
              <w:spacing w:after="120"/>
              <w:ind w:left="459" w:hanging="425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российская кредитная организация, соответствующая следующим требованиям: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наличие генеральной лицензии Центрального банка Российской Федерации на осуществление банковских операций или соответствующей лицензии, выданной уполномоченными органами иностранных государств;</w:t>
            </w:r>
          </w:p>
          <w:p w:rsidR="000C7A64" w:rsidRPr="000C7A64" w:rsidRDefault="000C7A64" w:rsidP="000C7A64">
            <w:pPr>
              <w:pStyle w:val="a1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7A64">
              <w:rPr>
                <w:rFonts w:ascii="Times New Roman" w:hAnsi="Times New Roman"/>
                <w:sz w:val="24"/>
                <w:szCs w:val="24"/>
                <w:lang w:val="ru-RU"/>
              </w:rPr>
              <w:t>период деятельности составляет не менее 3 лет с даты государственной регистрации (при слиянии банков указанный срок рассчитывается как в отношении организации, имеющей более раннюю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7A64">
              <w:rPr>
                <w:rFonts w:ascii="Times New Roman" w:hAnsi="Times New Roman"/>
                <w:sz w:val="24"/>
                <w:szCs w:val="24"/>
                <w:lang w:val="ru-RU"/>
              </w:rPr>
              <w:t>дату государственной регистрации, при преобразовании указанный срок не прерывается)</w:t>
            </w:r>
            <w:r w:rsidR="00614E79" w:rsidRPr="000C7A64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наличие у банка безусловно положительного аудиторского заключения за прошедший год, в котором подтверждаются достоверность во всех существенных отношениях финансовой (бухгалтерской) отчетности и соответствие порядка ведения бухгалтерского учета законодательству Российской Федерации.</w:t>
            </w:r>
          </w:p>
          <w:p w:rsidR="00614E79" w:rsidRPr="00FD4AC5" w:rsidRDefault="00614E79" w:rsidP="00614E79">
            <w:pPr>
              <w:pStyle w:val="a1"/>
              <w:numPr>
                <w:ilvl w:val="0"/>
                <w:numId w:val="3"/>
              </w:numPr>
              <w:spacing w:after="12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/>
              </w:rPr>
              <w:t>размер собственных средств (капитала) составляет не менее чем 20 млрд. рублей.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Срок, на который </w:t>
            </w: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выдается Банковская гарантия</w:t>
            </w:r>
          </w:p>
        </w:tc>
        <w:tc>
          <w:tcPr>
            <w:tcW w:w="6343" w:type="dxa"/>
          </w:tcPr>
          <w:p w:rsidR="006E20E6" w:rsidRPr="00FD4AC5" w:rsidRDefault="004703FD">
            <w:pPr>
              <w:pStyle w:val="11"/>
              <w:keepNext/>
              <w:keepLines/>
              <w:numPr>
                <w:ilvl w:val="0"/>
                <w:numId w:val="0"/>
              </w:numPr>
              <w:ind w:left="574"/>
              <w:rPr>
                <w:lang w:val="ru-RU"/>
              </w:rPr>
            </w:pPr>
            <w:r w:rsidRPr="00FD4AC5">
              <w:rPr>
                <w:lang w:val="ru-RU"/>
              </w:rPr>
              <w:lastRenderedPageBreak/>
              <w:t xml:space="preserve">Банковская гарантия предоставляется в течение </w:t>
            </w:r>
            <w:r w:rsidRPr="00FD4AC5">
              <w:rPr>
                <w:lang w:val="ru-RU"/>
              </w:rPr>
              <w:lastRenderedPageBreak/>
              <w:t>Срока действия концессионного соглашения (возобновляемая гарантия)</w:t>
            </w:r>
            <w:r w:rsidR="00BB4652">
              <w:rPr>
                <w:lang w:val="ru-RU"/>
              </w:rPr>
              <w:t xml:space="preserve"> </w:t>
            </w:r>
            <w:r w:rsidRPr="00FD4AC5">
              <w:rPr>
                <w:lang w:val="ru-RU"/>
              </w:rPr>
              <w:t xml:space="preserve">на срок не менее одного года. </w:t>
            </w:r>
            <w:r w:rsidR="00DA7868">
              <w:rPr>
                <w:lang w:val="ru-RU"/>
              </w:rPr>
              <w:t>Новая б</w:t>
            </w:r>
            <w:r w:rsidRPr="00FD4AC5">
              <w:rPr>
                <w:lang w:val="ru-RU"/>
              </w:rPr>
              <w:t xml:space="preserve">анковская гарантия должна быть </w:t>
            </w:r>
            <w:r w:rsidR="00DA7868">
              <w:rPr>
                <w:lang w:val="ru-RU"/>
              </w:rPr>
              <w:t>предоставл</w:t>
            </w:r>
            <w:r w:rsidRPr="00FD4AC5">
              <w:rPr>
                <w:lang w:val="ru-RU"/>
              </w:rPr>
              <w:t xml:space="preserve">ена не позднее чем за 30 календарных дней до окончания срока действия предыдущей Банковской гарантии. </w:t>
            </w:r>
          </w:p>
          <w:p w:rsidR="00614E79" w:rsidRPr="00FD4AC5" w:rsidRDefault="00614E79" w:rsidP="00754275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Срок исполнения гарантом требования Концедента об уплате денежной суммы по Банковской гарантии</w:t>
            </w:r>
          </w:p>
        </w:tc>
        <w:tc>
          <w:tcPr>
            <w:tcW w:w="6343" w:type="dxa"/>
          </w:tcPr>
          <w:p w:rsidR="00614E79" w:rsidRPr="00FD4AC5" w:rsidRDefault="00614E79" w:rsidP="00276B96">
            <w:pPr>
              <w:spacing w:after="240"/>
              <w:jc w:val="both"/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течение 30 (Тридцати) календарных дней с момента получения гарантом от концедента соответствующего требования </w:t>
            </w: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об уплате денежной суммы по Банковской гарантии, </w:t>
            </w: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содержащего расчёт суммы требования, подписанного уполномоченным лицом концедента, с указанием обстоятельства, наступление которого повлекло выплату по Банковской гарантии,</w:t>
            </w: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а также документов, которые Концедент направляет гаранту вместе с требованием об уплате денежной суммы по Банковской гарантии.</w:t>
            </w:r>
          </w:p>
          <w:p w:rsidR="00614E79" w:rsidRPr="00FD4AC5" w:rsidRDefault="00614E79" w:rsidP="00276B96">
            <w:pPr>
              <w:ind w:firstLine="74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Перечень документов, которые Конце</w:t>
            </w:r>
            <w:r w:rsidR="004703FD"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дент направляет гаранту вместе с требованием об уплате денежной суммы по Банковской гарантии</w:t>
            </w:r>
          </w:p>
        </w:tc>
        <w:tc>
          <w:tcPr>
            <w:tcW w:w="6343" w:type="dxa"/>
          </w:tcPr>
          <w:p w:rsidR="00614E79" w:rsidRPr="00FD4AC5" w:rsidRDefault="004703FD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Вместе с требованием об уплате денежной суммы по Банковской гарантии концедент представляет гаранту: 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а) Концессионное соглашение, а также дополнительные соглашения к Концессионному соглашению (включая дополнительные соглашения, которые были заключены со дня выдачи Банковской гарантии по день предъявления требования гаранту), в соответствии с которым Концессионер должен был исполнить обязательство, которое не исполнено им полностью или в части, при условии, что срок исполнения такого обязательства на основании Концессионного соглашения наступил;</w:t>
            </w:r>
          </w:p>
          <w:p w:rsidR="00614E79" w:rsidRPr="00FD4AC5" w:rsidRDefault="00781AA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документ, подтверждающий предъявление Концедентом требования к Концессионеру об исполнении обязательств по Концессионному соглашению, письмо Концедента о неисполнении Концессионером требования об исполнении обязательства в порядке, предусмотренном Концессионным соглашением;</w:t>
            </w:r>
          </w:p>
          <w:p w:rsidR="00614E79" w:rsidRPr="00FD4AC5" w:rsidRDefault="00BB4652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оригинал Банковской гарантии, а в случае предъявления требования в размере частичного неисполнения обязательств по Банковской гарантии – копия Банковской гарантии;</w:t>
            </w:r>
          </w:p>
          <w:p w:rsidR="00781AAD" w:rsidRPr="00DA7868" w:rsidRDefault="00BB4652" w:rsidP="00DA7868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доверенность или иной документ, подтверждающий полномочия лица, подписавшего </w:t>
            </w:r>
            <w:r w:rsidR="004703FD"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требование об уплате денежной суммы по Банковской гарантии, а также осуществившего удостоверение документов, предоставленных гаранту</w:t>
            </w:r>
            <w:r w:rsidR="004703FD" w:rsidRPr="00FD4AC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14E79" w:rsidRPr="00FD4AC5" w:rsidRDefault="00614E79" w:rsidP="005B5222">
            <w:pPr>
              <w:ind w:firstLine="720"/>
              <w:jc w:val="both"/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5222" w:rsidRPr="00FD4AC5" w:rsidRDefault="004703FD" w:rsidP="005B5222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Копии документов должны предоставляться в виде надлежащим образом заверенных копий в соответствии с Применимым правом.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8E7937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Порядок признания обязательств гаранта по Банковской гарантии надлежаще исполненными</w:t>
            </w:r>
          </w:p>
        </w:tc>
        <w:tc>
          <w:tcPr>
            <w:tcW w:w="6343" w:type="dxa"/>
          </w:tcPr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Обязательство гаранта перед Концедентом по Банковской гарантии прекращается: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а) в связи с уплатой Концеденту суммы Банковской гарантии;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б) в связи с окончанием срока Банковской гарантии, на который она выдана;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в) вследствие отказа Концедента от своих прав по Банковской гарантии;</w:t>
            </w:r>
          </w:p>
          <w:p w:rsidR="00614E79" w:rsidRPr="00FD4AC5" w:rsidRDefault="004703FD" w:rsidP="00276B96">
            <w:pPr>
              <w:ind w:firstLine="720"/>
              <w:jc w:val="both"/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г) по соглашению гаранта с Концедентом о прекращении этого обязательства;</w:t>
            </w:r>
          </w:p>
          <w:p w:rsidR="00614E79" w:rsidRPr="00DA7868" w:rsidRDefault="004703FD" w:rsidP="00DA7868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При этом, прекращение обязательства гаранта по всем указанным выше в пунктах «а» - «г» основаниям не зависит от того, возвращена ли ему Банковская гарантия.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Обязательства Концессионера, надлежащее исполнение которых обеспечивается Банковской гарантией</w:t>
            </w:r>
          </w:p>
        </w:tc>
        <w:tc>
          <w:tcPr>
            <w:tcW w:w="6343" w:type="dxa"/>
          </w:tcPr>
          <w:p w:rsidR="00614E79" w:rsidRPr="00FD4AC5" w:rsidRDefault="00614E79" w:rsidP="006D4C0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Концессионером обязательств по Концессионному соглашению по</w:t>
            </w:r>
            <w:r w:rsidR="006D4C0E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Созданию и (или)</w:t>
            </w: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D4C0E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еконструкции Объекта соглашения в соответствии с </w:t>
            </w:r>
            <w:r w:rsidR="006D4C0E" w:rsidRPr="00654EA0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Приложением 3</w:t>
            </w:r>
            <w:r w:rsidRPr="00654EA0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614E79" w:rsidRPr="00FD4AC5" w:rsidTr="00276B96">
        <w:tc>
          <w:tcPr>
            <w:tcW w:w="817" w:type="dxa"/>
          </w:tcPr>
          <w:p w:rsidR="00614E79" w:rsidRPr="00FD4AC5" w:rsidRDefault="00614E79" w:rsidP="00614E79">
            <w:pPr>
              <w:widowControl w:val="0"/>
              <w:numPr>
                <w:ilvl w:val="0"/>
                <w:numId w:val="1"/>
              </w:numPr>
              <w:tabs>
                <w:tab w:val="left" w:pos="1430"/>
                <w:tab w:val="left" w:pos="5399"/>
              </w:tabs>
              <w:autoSpaceDE w:val="0"/>
              <w:autoSpaceDN w:val="0"/>
              <w:adjustRightInd w:val="0"/>
              <w:spacing w:after="240" w:line="240" w:lineRule="auto"/>
              <w:ind w:left="426" w:hanging="28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</w:tcPr>
          <w:p w:rsidR="00614E79" w:rsidRPr="00FD4AC5" w:rsidRDefault="00614E79" w:rsidP="00276B96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D4AC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рассмотрения споров по Банковской гарантии</w:t>
            </w:r>
          </w:p>
        </w:tc>
        <w:tc>
          <w:tcPr>
            <w:tcW w:w="6343" w:type="dxa"/>
          </w:tcPr>
          <w:p w:rsidR="00614E79" w:rsidRPr="00FD4AC5" w:rsidRDefault="00614E79" w:rsidP="006D4C0E">
            <w:pPr>
              <w:jc w:val="both"/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AC5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споры, связанные с Банковской гарантий, подлежат рассмотрению в </w:t>
            </w:r>
            <w:r w:rsidR="006D4C0E">
              <w:rPr>
                <w:rStyle w:val="22"/>
                <w:rFonts w:ascii="Times New Roman" w:hAnsi="Times New Roman" w:cs="Times New Roman"/>
                <w:sz w:val="24"/>
                <w:szCs w:val="24"/>
                <w:lang w:val="ru-RU"/>
              </w:rPr>
              <w:t>арбитражном суде в соответствии с правилами подсудности</w:t>
            </w:r>
            <w:r w:rsidR="00FD4AC5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</w:tbl>
    <w:p w:rsidR="00614E79" w:rsidRPr="00FD4AC5" w:rsidRDefault="00614E79" w:rsidP="00614E79">
      <w:pPr>
        <w:rPr>
          <w:rFonts w:ascii="Times New Roman" w:hAnsi="Times New Roman"/>
          <w:sz w:val="24"/>
          <w:szCs w:val="24"/>
        </w:rPr>
      </w:pPr>
    </w:p>
    <w:bookmarkEnd w:id="4"/>
    <w:p w:rsidR="00614E79" w:rsidRPr="00FD4AC5" w:rsidRDefault="00614E79" w:rsidP="00614E79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B96" w:rsidRPr="00FD4AC5" w:rsidRDefault="00276B96">
      <w:pPr>
        <w:rPr>
          <w:rFonts w:ascii="Times New Roman" w:hAnsi="Times New Roman"/>
          <w:sz w:val="24"/>
          <w:szCs w:val="24"/>
        </w:rPr>
      </w:pPr>
    </w:p>
    <w:sectPr w:rsidR="00276B96" w:rsidRPr="00FD4AC5" w:rsidSect="00276B96">
      <w:footerReference w:type="default" r:id="rId7"/>
      <w:pgSz w:w="11906" w:h="16838"/>
      <w:pgMar w:top="1134" w:right="850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639" w:rsidRDefault="00575639">
      <w:pPr>
        <w:spacing w:after="0" w:line="240" w:lineRule="auto"/>
      </w:pPr>
      <w:r>
        <w:separator/>
      </w:r>
    </w:p>
  </w:endnote>
  <w:endnote w:type="continuationSeparator" w:id="0">
    <w:p w:rsidR="00575639" w:rsidRDefault="0057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1644687282"/>
      <w:docPartObj>
        <w:docPartGallery w:val="Page Numbers (Bottom of Page)"/>
        <w:docPartUnique/>
      </w:docPartObj>
    </w:sdtPr>
    <w:sdtEndPr/>
    <w:sdtContent>
      <w:p w:rsidR="00276B96" w:rsidRPr="00624769" w:rsidRDefault="005B2906" w:rsidP="00276B96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624769">
          <w:rPr>
            <w:rFonts w:ascii="Times New Roman" w:hAnsi="Times New Roman"/>
            <w:sz w:val="24"/>
            <w:szCs w:val="24"/>
          </w:rPr>
          <w:fldChar w:fldCharType="begin"/>
        </w:r>
        <w:r w:rsidR="00276B96" w:rsidRPr="0062476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24769">
          <w:rPr>
            <w:rFonts w:ascii="Times New Roman" w:hAnsi="Times New Roman"/>
            <w:sz w:val="24"/>
            <w:szCs w:val="24"/>
          </w:rPr>
          <w:fldChar w:fldCharType="separate"/>
        </w:r>
        <w:r w:rsidR="003E33B7">
          <w:rPr>
            <w:rFonts w:ascii="Times New Roman" w:hAnsi="Times New Roman"/>
            <w:noProof/>
            <w:sz w:val="24"/>
            <w:szCs w:val="24"/>
          </w:rPr>
          <w:t>3</w:t>
        </w:r>
        <w:r w:rsidRPr="0062476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76B96" w:rsidRPr="00624769" w:rsidRDefault="00276B96" w:rsidP="00276B96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639" w:rsidRDefault="00575639">
      <w:pPr>
        <w:spacing w:after="0" w:line="240" w:lineRule="auto"/>
      </w:pPr>
      <w:r>
        <w:separator/>
      </w:r>
    </w:p>
  </w:footnote>
  <w:footnote w:type="continuationSeparator" w:id="0">
    <w:p w:rsidR="00575639" w:rsidRDefault="0057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30ACB"/>
    <w:multiLevelType w:val="hybridMultilevel"/>
    <w:tmpl w:val="A3661E1E"/>
    <w:lvl w:ilvl="0" w:tplc="5CACC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B62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32D1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E85E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83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A61D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BC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FEF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5EFE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46CF2"/>
    <w:multiLevelType w:val="hybridMultilevel"/>
    <w:tmpl w:val="B504D754"/>
    <w:lvl w:ilvl="0" w:tplc="D9C4E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26C59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421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7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25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7CB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64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D80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62D2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44845"/>
    <w:multiLevelType w:val="hybridMultilevel"/>
    <w:tmpl w:val="F86AC3E4"/>
    <w:lvl w:ilvl="0" w:tplc="146232A4">
      <w:start w:val="1"/>
      <w:numFmt w:val="decimal"/>
      <w:lvlText w:val="%1."/>
      <w:lvlJc w:val="left"/>
      <w:pPr>
        <w:ind w:left="720" w:hanging="360"/>
      </w:pPr>
    </w:lvl>
    <w:lvl w:ilvl="1" w:tplc="1D7C97F2">
      <w:start w:val="1"/>
      <w:numFmt w:val="lowerLetter"/>
      <w:lvlText w:val="%2."/>
      <w:lvlJc w:val="left"/>
      <w:pPr>
        <w:ind w:left="1440" w:hanging="360"/>
      </w:pPr>
    </w:lvl>
    <w:lvl w:ilvl="2" w:tplc="87C875DC" w:tentative="1">
      <w:start w:val="1"/>
      <w:numFmt w:val="lowerRoman"/>
      <w:lvlText w:val="%3."/>
      <w:lvlJc w:val="right"/>
      <w:pPr>
        <w:ind w:left="2160" w:hanging="180"/>
      </w:pPr>
    </w:lvl>
    <w:lvl w:ilvl="3" w:tplc="F1A01FA0" w:tentative="1">
      <w:start w:val="1"/>
      <w:numFmt w:val="decimal"/>
      <w:lvlText w:val="%4."/>
      <w:lvlJc w:val="left"/>
      <w:pPr>
        <w:ind w:left="2880" w:hanging="360"/>
      </w:pPr>
    </w:lvl>
    <w:lvl w:ilvl="4" w:tplc="7FD23E3C" w:tentative="1">
      <w:start w:val="1"/>
      <w:numFmt w:val="lowerLetter"/>
      <w:lvlText w:val="%5."/>
      <w:lvlJc w:val="left"/>
      <w:pPr>
        <w:ind w:left="3600" w:hanging="360"/>
      </w:pPr>
    </w:lvl>
    <w:lvl w:ilvl="5" w:tplc="D5803C86" w:tentative="1">
      <w:start w:val="1"/>
      <w:numFmt w:val="lowerRoman"/>
      <w:lvlText w:val="%6."/>
      <w:lvlJc w:val="right"/>
      <w:pPr>
        <w:ind w:left="4320" w:hanging="180"/>
      </w:pPr>
    </w:lvl>
    <w:lvl w:ilvl="6" w:tplc="29AADEAE" w:tentative="1">
      <w:start w:val="1"/>
      <w:numFmt w:val="decimal"/>
      <w:lvlText w:val="%7."/>
      <w:lvlJc w:val="left"/>
      <w:pPr>
        <w:ind w:left="5040" w:hanging="360"/>
      </w:pPr>
    </w:lvl>
    <w:lvl w:ilvl="7" w:tplc="4D0424A0" w:tentative="1">
      <w:start w:val="1"/>
      <w:numFmt w:val="lowerLetter"/>
      <w:lvlText w:val="%8."/>
      <w:lvlJc w:val="left"/>
      <w:pPr>
        <w:ind w:left="5760" w:hanging="360"/>
      </w:pPr>
    </w:lvl>
    <w:lvl w:ilvl="8" w:tplc="7A3E0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B687E"/>
    <w:multiLevelType w:val="multilevel"/>
    <w:tmpl w:val="02D4BFEC"/>
    <w:lvl w:ilvl="0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lowerLetter"/>
      <w:pStyle w:val="a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lowerRoman"/>
      <w:pStyle w:val="3"/>
      <w:lvlText w:val="(%4)"/>
      <w:lvlJc w:val="left"/>
      <w:pPr>
        <w:ind w:left="206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79"/>
    <w:rsid w:val="0001334D"/>
    <w:rsid w:val="00020AE9"/>
    <w:rsid w:val="000C7A64"/>
    <w:rsid w:val="00142336"/>
    <w:rsid w:val="001523D2"/>
    <w:rsid w:val="00187CB7"/>
    <w:rsid w:val="00276B96"/>
    <w:rsid w:val="002A1338"/>
    <w:rsid w:val="002A7792"/>
    <w:rsid w:val="002B3B40"/>
    <w:rsid w:val="003E33B7"/>
    <w:rsid w:val="004613CB"/>
    <w:rsid w:val="004628E8"/>
    <w:rsid w:val="004703FD"/>
    <w:rsid w:val="005648B1"/>
    <w:rsid w:val="00575639"/>
    <w:rsid w:val="005B2906"/>
    <w:rsid w:val="005B5222"/>
    <w:rsid w:val="00611AA9"/>
    <w:rsid w:val="00614E79"/>
    <w:rsid w:val="00621EF6"/>
    <w:rsid w:val="00654EA0"/>
    <w:rsid w:val="006D4C0E"/>
    <w:rsid w:val="006E20E6"/>
    <w:rsid w:val="0074643B"/>
    <w:rsid w:val="00754275"/>
    <w:rsid w:val="00781AAD"/>
    <w:rsid w:val="007910D5"/>
    <w:rsid w:val="007D6C9A"/>
    <w:rsid w:val="008427BD"/>
    <w:rsid w:val="00843232"/>
    <w:rsid w:val="008809F1"/>
    <w:rsid w:val="008D53A0"/>
    <w:rsid w:val="008D7450"/>
    <w:rsid w:val="008E7937"/>
    <w:rsid w:val="0098270A"/>
    <w:rsid w:val="00A21DF2"/>
    <w:rsid w:val="00A2336F"/>
    <w:rsid w:val="00B91622"/>
    <w:rsid w:val="00BB4652"/>
    <w:rsid w:val="00BB75F6"/>
    <w:rsid w:val="00BF4552"/>
    <w:rsid w:val="00C51243"/>
    <w:rsid w:val="00CA127C"/>
    <w:rsid w:val="00CD392F"/>
    <w:rsid w:val="00CE4803"/>
    <w:rsid w:val="00D31263"/>
    <w:rsid w:val="00D745A1"/>
    <w:rsid w:val="00DA1A1A"/>
    <w:rsid w:val="00DA7868"/>
    <w:rsid w:val="00DF5F18"/>
    <w:rsid w:val="00E809DC"/>
    <w:rsid w:val="00F00FC4"/>
    <w:rsid w:val="00F01EB5"/>
    <w:rsid w:val="00FB3574"/>
    <w:rsid w:val="00FD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5214E-181F-4C56-9EFA-C6E64269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4E79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1"/>
    <w:next w:val="a0"/>
    <w:link w:val="10"/>
    <w:qFormat/>
    <w:rsid w:val="00D31263"/>
    <w:pPr>
      <w:keepNext/>
      <w:numPr>
        <w:numId w:val="4"/>
      </w:numPr>
      <w:spacing w:after="200" w:line="240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nhideWhenUsed/>
    <w:qFormat/>
    <w:rsid w:val="00614E79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">
    <w:name w:val="heading 3"/>
    <w:aliases w:val="H3"/>
    <w:basedOn w:val="a"/>
    <w:next w:val="a0"/>
    <w:link w:val="30"/>
    <w:unhideWhenUsed/>
    <w:qFormat/>
    <w:rsid w:val="00D31263"/>
    <w:pPr>
      <w:numPr>
        <w:ilvl w:val="3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2"/>
    <w:link w:val="2"/>
    <w:rsid w:val="00614E79"/>
    <w:rPr>
      <w:rFonts w:ascii="Times New Roman" w:eastAsia="Calibri" w:hAnsi="Times New Roman" w:cs="Times New Roman"/>
      <w:b/>
      <w:sz w:val="24"/>
      <w:szCs w:val="24"/>
    </w:rPr>
  </w:style>
  <w:style w:type="paragraph" w:styleId="a1">
    <w:name w:val="List Paragraph"/>
    <w:aliases w:val="Мой 1,Пункт а_а"/>
    <w:basedOn w:val="a0"/>
    <w:link w:val="a5"/>
    <w:uiPriority w:val="34"/>
    <w:qFormat/>
    <w:rsid w:val="00614E79"/>
    <w:pPr>
      <w:ind w:left="720"/>
      <w:contextualSpacing/>
    </w:pPr>
  </w:style>
  <w:style w:type="paragraph" w:styleId="a6">
    <w:name w:val="footer"/>
    <w:basedOn w:val="a0"/>
    <w:link w:val="a7"/>
    <w:unhideWhenUsed/>
    <w:rsid w:val="0061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2"/>
    <w:link w:val="a6"/>
    <w:rsid w:val="00614E79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Мой 1 Знак,Пункт а_а Знак"/>
    <w:link w:val="a1"/>
    <w:uiPriority w:val="34"/>
    <w:locked/>
    <w:rsid w:val="00614E79"/>
    <w:rPr>
      <w:rFonts w:ascii="Calibri" w:eastAsia="Calibri" w:hAnsi="Calibri" w:cs="Times New Roman"/>
    </w:rPr>
  </w:style>
  <w:style w:type="table" w:customStyle="1" w:styleId="21">
    <w:name w:val="Сетка таблицы21"/>
    <w:uiPriority w:val="99"/>
    <w:rsid w:val="00614E79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2"/>
    <w:link w:val="23"/>
    <w:uiPriority w:val="99"/>
    <w:rsid w:val="00614E79"/>
    <w:rPr>
      <w:rFonts w:ascii="Arial" w:hAnsi="Arial" w:cs="Arial"/>
      <w:sz w:val="16"/>
      <w:szCs w:val="16"/>
      <w:shd w:val="clear" w:color="auto" w:fill="FFFFFF"/>
    </w:rPr>
  </w:style>
  <w:style w:type="paragraph" w:customStyle="1" w:styleId="23">
    <w:name w:val="Основной текст (2)"/>
    <w:basedOn w:val="a0"/>
    <w:link w:val="22"/>
    <w:uiPriority w:val="99"/>
    <w:rsid w:val="00614E79"/>
    <w:pPr>
      <w:widowControl w:val="0"/>
      <w:shd w:val="clear" w:color="auto" w:fill="FFFFFF"/>
      <w:spacing w:before="420" w:after="0" w:line="202" w:lineRule="exact"/>
      <w:jc w:val="both"/>
    </w:pPr>
    <w:rPr>
      <w:rFonts w:ascii="Arial" w:eastAsiaTheme="minorHAnsi" w:hAnsi="Arial" w:cs="Arial"/>
      <w:sz w:val="16"/>
      <w:szCs w:val="16"/>
    </w:rPr>
  </w:style>
  <w:style w:type="character" w:styleId="a8">
    <w:name w:val="annotation reference"/>
    <w:basedOn w:val="a2"/>
    <w:uiPriority w:val="99"/>
    <w:semiHidden/>
    <w:unhideWhenUsed/>
    <w:rsid w:val="007910D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7910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7910D5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910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910D5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79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7910D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2"/>
    <w:link w:val="1"/>
    <w:rsid w:val="00D31263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H3 Знак"/>
    <w:basedOn w:val="a2"/>
    <w:link w:val="3"/>
    <w:rsid w:val="00D31263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Третий уровень (a)"/>
    <w:basedOn w:val="11"/>
    <w:qFormat/>
    <w:rsid w:val="00D31263"/>
    <w:pPr>
      <w:numPr>
        <w:ilvl w:val="2"/>
      </w:numPr>
    </w:pPr>
  </w:style>
  <w:style w:type="paragraph" w:customStyle="1" w:styleId="11">
    <w:name w:val="Второй уровень (1.1.)"/>
    <w:basedOn w:val="1"/>
    <w:rsid w:val="00D31263"/>
    <w:pPr>
      <w:keepNext w:val="0"/>
      <w:numPr>
        <w:ilvl w:val="1"/>
      </w:numPr>
      <w:ind w:left="574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Павел</cp:lastModifiedBy>
  <cp:revision>7</cp:revision>
  <cp:lastPrinted>2018-10-25T12:54:00Z</cp:lastPrinted>
  <dcterms:created xsi:type="dcterms:W3CDTF">2021-02-09T14:34:00Z</dcterms:created>
  <dcterms:modified xsi:type="dcterms:W3CDTF">2021-04-26T14:15:00Z</dcterms:modified>
</cp:coreProperties>
</file>