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1A" w:rsidRPr="00792425" w:rsidRDefault="00E4691A" w:rsidP="00000DE4">
      <w:pPr>
        <w:keepNext/>
        <w:keepLines/>
        <w:ind w:left="709"/>
        <w:jc w:val="right"/>
        <w:outlineLvl w:val="1"/>
        <w:rPr>
          <w:b/>
          <w:szCs w:val="28"/>
        </w:rPr>
      </w:pPr>
      <w:r w:rsidRPr="00792425">
        <w:rPr>
          <w:b/>
          <w:szCs w:val="28"/>
        </w:rPr>
        <w:t>Приложение 9</w:t>
      </w:r>
    </w:p>
    <w:p w:rsidR="00000DE4" w:rsidRPr="00792425" w:rsidRDefault="00000DE4" w:rsidP="00E4691A">
      <w:pPr>
        <w:keepNext/>
        <w:keepLines/>
        <w:ind w:left="709"/>
        <w:jc w:val="right"/>
        <w:outlineLvl w:val="1"/>
        <w:rPr>
          <w:b/>
          <w:sz w:val="22"/>
          <w:szCs w:val="24"/>
        </w:rPr>
      </w:pPr>
      <w:r w:rsidRPr="00792425">
        <w:rPr>
          <w:b/>
          <w:szCs w:val="28"/>
        </w:rPr>
        <w:t xml:space="preserve"> </w:t>
      </w:r>
      <w:r w:rsidR="00E4691A" w:rsidRPr="00792425">
        <w:rPr>
          <w:b/>
          <w:szCs w:val="28"/>
        </w:rPr>
        <w:t xml:space="preserve">к </w:t>
      </w:r>
      <w:r w:rsidRPr="00792425">
        <w:rPr>
          <w:b/>
          <w:szCs w:val="28"/>
        </w:rPr>
        <w:t>Концессионному соглашению</w:t>
      </w:r>
    </w:p>
    <w:p w:rsidR="00000DE4" w:rsidRPr="00792425" w:rsidRDefault="00000DE4" w:rsidP="003018EA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</w:p>
    <w:p w:rsidR="00000DE4" w:rsidRDefault="00000DE4" w:rsidP="003018EA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</w:p>
    <w:p w:rsidR="003018EA" w:rsidRDefault="00E4691A" w:rsidP="003214E0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  <w:r>
        <w:rPr>
          <w:b/>
          <w:szCs w:val="24"/>
        </w:rPr>
        <w:t>ПЕРЕЧЕНЬ ДОКУМЕНТОВ, ПОДЛЕЖАЩИХ ПЕРЕДАЧЕ КОНЦЕДЕНТОМ КОНЦЕССИОНЕРУ</w:t>
      </w:r>
    </w:p>
    <w:p w:rsidR="003214E0" w:rsidRPr="003018EA" w:rsidRDefault="003214E0" w:rsidP="003214E0">
      <w:pPr>
        <w:keepNext/>
        <w:keepLines/>
        <w:spacing w:after="200"/>
        <w:ind w:left="709"/>
        <w:jc w:val="center"/>
        <w:outlineLvl w:val="1"/>
        <w:rPr>
          <w:b/>
          <w:szCs w:val="24"/>
        </w:rPr>
      </w:pPr>
      <w:bookmarkStart w:id="0" w:name="_GoBack"/>
      <w:bookmarkEnd w:id="0"/>
    </w:p>
    <w:p w:rsidR="003018EA" w:rsidRPr="003018EA" w:rsidRDefault="003018EA" w:rsidP="00E42ED2">
      <w:pPr>
        <w:spacing w:after="160"/>
        <w:ind w:firstLine="567"/>
        <w:jc w:val="both"/>
        <w:rPr>
          <w:szCs w:val="24"/>
        </w:rPr>
      </w:pPr>
      <w:r w:rsidRPr="003018EA">
        <w:rPr>
          <w:szCs w:val="24"/>
        </w:rPr>
        <w:t>В сроки, указанные в Концессионном соглашении, Концедент обязан передать Концессионеру следующие документы в отношении имущества, входящ</w:t>
      </w:r>
      <w:r>
        <w:rPr>
          <w:szCs w:val="24"/>
        </w:rPr>
        <w:t>его в состав Объекта соглашения</w:t>
      </w:r>
      <w:r w:rsidRPr="003018EA">
        <w:rPr>
          <w:szCs w:val="24"/>
        </w:rPr>
        <w:t>: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ind w:left="567" w:hanging="567"/>
        <w:jc w:val="both"/>
        <w:rPr>
          <w:b/>
          <w:szCs w:val="24"/>
        </w:rPr>
      </w:pPr>
      <w:r w:rsidRPr="003018EA">
        <w:rPr>
          <w:b/>
          <w:szCs w:val="24"/>
        </w:rPr>
        <w:t>Документы в отношении объектов капитального строительства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Заверенные Концедентом копии свидетельств о государственной регистрации права собственности на объекты капитального строительства или выписки из Единого государственного реестра </w:t>
      </w:r>
      <w:r w:rsidR="00791025" w:rsidRPr="003018EA">
        <w:rPr>
          <w:szCs w:val="24"/>
        </w:rPr>
        <w:t>недвижимости.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Концедентом копии кадастровых и технических паспортов (планов) на объекты капитального строительства.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Проектная и исполнительная документация.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Генеральные планы расположения объектов недвижимого имущества.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Разрешения на строительство и разрешения на ввод в эксплуатацию объектов капитального строительства.</w:t>
      </w:r>
    </w:p>
    <w:p w:rsidR="003018EA" w:rsidRPr="003018EA" w:rsidRDefault="003018EA" w:rsidP="003018EA">
      <w:pPr>
        <w:jc w:val="both"/>
        <w:rPr>
          <w:szCs w:val="24"/>
        </w:rPr>
      </w:pP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Выписки из реестра муниципальной собственности.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Концедентом копии решений и иных документов о прекращении права хозяйственного ведения Предприятия в отношении Объекта соглашения и Иного имущества.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Документы, подтверждающие выполнение необходимых мероприятий в отношении опасных производственных объектов (свидетельства о регистрации, декларации промышленной безопасности, заключения по результатам экспертизы, документы о техническом освидетельствовании и т.д.), а также объектов, оказывающих негативное воздействие на окружающую среду (в том числе документы в отношении санитарно-защитных зон), требований пожарной безопасности.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Эксплуатационная документация (если применимо).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jc w:val="both"/>
        <w:rPr>
          <w:b/>
          <w:szCs w:val="24"/>
        </w:rPr>
      </w:pPr>
      <w:r w:rsidRPr="003018EA">
        <w:rPr>
          <w:b/>
          <w:szCs w:val="24"/>
        </w:rPr>
        <w:t>Документы в отношении оборудования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Сертификаты соответствия или декларации соответствия в отношении используемого оборудования.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Гарантийные талоны или договоры на приобретение оборудования (при условии, что гарантийный срок на оборудование не истек).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Технические паспорта на оборудование, паспорта заводов-изготовителей. 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lastRenderedPageBreak/>
        <w:t>Эксплуатационная документация на оборудование.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Разрешения на допуск оборудования в эксплуатацию.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Результаты технического освидетельствования оборудования.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Документы, подтверждающие выполнение необходимых мероприятий в отношении оборудования в связи с его использованием на опасных производственных объектах (свидетельства о регистрации, декларации промышленной безопасности, заключения по результатам экспертизы, документы о техническом освидетельствовании и т.д.).</w:t>
      </w:r>
    </w:p>
    <w:p w:rsidR="003018EA" w:rsidRPr="003018EA" w:rsidRDefault="003018EA" w:rsidP="003018EA">
      <w:pPr>
        <w:numPr>
          <w:ilvl w:val="0"/>
          <w:numId w:val="1"/>
        </w:numPr>
        <w:spacing w:before="200" w:after="200" w:line="259" w:lineRule="auto"/>
        <w:jc w:val="both"/>
        <w:rPr>
          <w:b/>
          <w:szCs w:val="24"/>
        </w:rPr>
      </w:pPr>
      <w:r w:rsidRPr="003018EA">
        <w:rPr>
          <w:b/>
          <w:szCs w:val="24"/>
        </w:rPr>
        <w:t>Прочие документы (заверенные Концедентом или Предприятием копии)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Кадастровые паспорта земельных участков,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 xml:space="preserve">Заверенные Предприятием копии договоров, актов, технических условий на подключение к системе </w:t>
      </w:r>
      <w:r w:rsidR="003B442B">
        <w:rPr>
          <w:szCs w:val="24"/>
        </w:rPr>
        <w:t>вод</w:t>
      </w:r>
      <w:r w:rsidRPr="003018EA">
        <w:rPr>
          <w:szCs w:val="24"/>
        </w:rPr>
        <w:t>оснабжения, выданных Предприятием.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Заверенные Предприятием копии договоров с потребителями, абонентами.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Перечень (картотека) потребителей, абонентов с указанием нагрузок (мощностей), информации о задолженности, данных, позволяющих идентифицировать потребителя, абонента.</w:t>
      </w:r>
    </w:p>
    <w:p w:rsidR="003018EA" w:rsidRPr="003018EA" w:rsidRDefault="003018EA" w:rsidP="003018EA">
      <w:pPr>
        <w:numPr>
          <w:ilvl w:val="1"/>
          <w:numId w:val="1"/>
        </w:numPr>
        <w:spacing w:after="160" w:line="259" w:lineRule="auto"/>
        <w:jc w:val="both"/>
        <w:rPr>
          <w:szCs w:val="24"/>
        </w:rPr>
      </w:pPr>
      <w:r w:rsidRPr="003018EA">
        <w:rPr>
          <w:szCs w:val="24"/>
        </w:rPr>
        <w:t>Иные документы (их копии), необходимость передачи которых будет согласована Концессионером и Концедентом или указана в требовании Концессионера.</w:t>
      </w:r>
    </w:p>
    <w:p w:rsidR="005347E0" w:rsidRDefault="005347E0"/>
    <w:sectPr w:rsidR="005347E0" w:rsidSect="00C9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EA"/>
    <w:rsid w:val="00000DE4"/>
    <w:rsid w:val="003018EA"/>
    <w:rsid w:val="003214E0"/>
    <w:rsid w:val="003B442B"/>
    <w:rsid w:val="004D2D3A"/>
    <w:rsid w:val="005347E0"/>
    <w:rsid w:val="00791025"/>
    <w:rsid w:val="00792425"/>
    <w:rsid w:val="00E42ED2"/>
    <w:rsid w:val="00E4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037E2-404D-48C4-A4F3-1B55995B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</dc:creator>
  <cp:lastModifiedBy>Павел</cp:lastModifiedBy>
  <cp:revision>10</cp:revision>
  <dcterms:created xsi:type="dcterms:W3CDTF">2021-02-02T08:50:00Z</dcterms:created>
  <dcterms:modified xsi:type="dcterms:W3CDTF">2021-09-15T13:52:00Z</dcterms:modified>
</cp:coreProperties>
</file>