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37C4" w14:textId="77777777" w:rsidR="00C4421E" w:rsidRDefault="00BC5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61711C37" w14:textId="77777777" w:rsidR="00C4421E" w:rsidRDefault="00BC5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ВЕРХНЕЛЮБАЖСКОГО СЕЛЬСОВЕТА</w:t>
      </w:r>
    </w:p>
    <w:p w14:paraId="4B545BCC" w14:textId="77777777" w:rsidR="00C4421E" w:rsidRDefault="00BC5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ФАТЕЖСКОГО РАЙОНА </w:t>
      </w:r>
    </w:p>
    <w:p w14:paraId="7E527793" w14:textId="77777777" w:rsidR="00C4421E" w:rsidRDefault="00C44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C233C5" w14:textId="77777777" w:rsidR="00C4421E" w:rsidRDefault="00BC5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0148DFAB" w14:textId="77777777" w:rsidR="00C4421E" w:rsidRDefault="00C442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B94117" w14:textId="77777777" w:rsidR="00C4421E" w:rsidRDefault="00C44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03025F" w14:textId="5A16E078" w:rsidR="00C4421E" w:rsidRDefault="00BC5298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08 сентября 2020 г.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№ 45В</w:t>
      </w:r>
    </w:p>
    <w:p w14:paraId="6F7ED4D8" w14:textId="77777777" w:rsidR="00C4421E" w:rsidRDefault="00C44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B8569B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</w:t>
      </w:r>
    </w:p>
    <w:p w14:paraId="0DDF6722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налоговых и не налоговых доходов</w:t>
      </w:r>
    </w:p>
    <w:p w14:paraId="4E842957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14:paraId="3F32CBF7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«Верхнелюбажский сельсовет» Фатежского</w:t>
      </w:r>
    </w:p>
    <w:p w14:paraId="1AC7A903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для построения </w:t>
      </w:r>
    </w:p>
    <w:p w14:paraId="78AB893D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межбюджетных отношений между бюджетом</w:t>
      </w:r>
    </w:p>
    <w:p w14:paraId="67BCEF5B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«Верхнелюбажский</w:t>
      </w:r>
    </w:p>
    <w:p w14:paraId="56375C2F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сельсовет», областным бюджетом и бюджетом</w:t>
      </w:r>
    </w:p>
    <w:p w14:paraId="24D86705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«Фатежский район» </w:t>
      </w:r>
    </w:p>
    <w:p w14:paraId="1CF4EC88" w14:textId="77777777" w:rsidR="00C4421E" w:rsidRDefault="00BC529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Курской области на 2021 - 2023 годы</w:t>
      </w:r>
    </w:p>
    <w:p w14:paraId="7B22DC58" w14:textId="77777777" w:rsidR="00C4421E" w:rsidRDefault="00C44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C0BFE" w14:textId="77777777" w:rsidR="00C4421E" w:rsidRDefault="00BC5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бю</w:t>
      </w:r>
      <w:r>
        <w:rPr>
          <w:rFonts w:ascii="Times New Roman" w:hAnsi="Times New Roman" w:cs="Times New Roman"/>
          <w:sz w:val="28"/>
          <w:szCs w:val="28"/>
        </w:rPr>
        <w:t>джетного процесса и обеспечения сбалансированности и устойчивости бюджета муниципального образования «Верхнелюбажский сельсовет» Фатежского района Курской области  приказываю:</w:t>
      </w:r>
    </w:p>
    <w:p w14:paraId="6314B1AA" w14:textId="77777777" w:rsidR="00C4421E" w:rsidRDefault="00BC529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прилагаемую методику прогнозирования налоговых и не налоговых доход</w:t>
      </w:r>
      <w:r>
        <w:rPr>
          <w:rFonts w:ascii="Times New Roman" w:hAnsi="Times New Roman" w:cs="Times New Roman"/>
          <w:sz w:val="28"/>
          <w:szCs w:val="28"/>
        </w:rPr>
        <w:t>ов бюджета муниципального образования «Верхнелюбажский сельсовет» Фатежского района Курской области для построения межбюджетных отношений между бюджетом муниципального образования, областным бюджетом и бюджетом муниципального района на 2021 - 2023 годы.</w:t>
      </w:r>
    </w:p>
    <w:p w14:paraId="2BF0AEE9" w14:textId="77777777" w:rsidR="00C4421E" w:rsidRDefault="00BC529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Начальнику отдела Администрации Верхнелюбажского сельсовета Фатежского района  (Н.В. Алехина) осуществить прогнозирование доходов    бюджета муниципального образования «Верхнелюбажский сельсовет» Фатежского района Курской области для построения межбюджетн</w:t>
      </w:r>
      <w:r>
        <w:rPr>
          <w:rFonts w:ascii="Times New Roman" w:hAnsi="Times New Roman" w:cs="Times New Roman"/>
          <w:sz w:val="28"/>
          <w:szCs w:val="28"/>
        </w:rPr>
        <w:t>ых отношений между бюджетом муниципального образования, областным бюджетом и бюджетом муниципального района на 2021 - 2023 годы в соответствии с утвержденной методикой.</w:t>
      </w:r>
    </w:p>
    <w:p w14:paraId="4B72E68D" w14:textId="77777777" w:rsidR="00C4421E" w:rsidRDefault="00BC5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12039B1F" w14:textId="77777777" w:rsidR="00C4421E" w:rsidRDefault="00BC5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Распоряжение  вступает в силу со дня его подписания.</w:t>
      </w:r>
    </w:p>
    <w:p w14:paraId="2F62BD51" w14:textId="77777777" w:rsidR="00C4421E" w:rsidRDefault="00C44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05AA15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Верхнелюбажского сельсовета                                          </w:t>
      </w:r>
    </w:p>
    <w:p w14:paraId="465AE9C7" w14:textId="77777777" w:rsidR="00C4421E" w:rsidRDefault="00BC52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Фатежского района                                                                        Е. М. Чуйкова</w:t>
      </w:r>
    </w:p>
    <w:p w14:paraId="28C764C4" w14:textId="77777777" w:rsidR="00C4421E" w:rsidRDefault="00C44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717525" w14:textId="6999B6E2" w:rsidR="00C4421E" w:rsidRDefault="00BC529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02EA17A5">
          <v:rect id="Изображение1" o:spid="_x0000_s1026" style="position:absolute;left:0;text-align:left;margin-left:16.5pt;margin-top:-2.8pt;width:225.85pt;height:100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" strokecolor="white" strokeweight=".26mm">
            <v:stroke joinstyle="round"/>
            <v:textbox>
              <w:txbxContent>
                <w:p w14:paraId="45D4DA43" w14:textId="77777777" w:rsidR="00C4421E" w:rsidRDefault="00BC5298">
                  <w:pPr>
                    <w:pStyle w:val="a8"/>
                    <w:spacing w:after="0"/>
                    <w:ind w:right="-4365"/>
                    <w:jc w:val="right"/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УУУУУУУУУтттт</w:t>
                  </w:r>
                </w:p>
              </w:txbxContent>
            </v:textbox>
            <w10:wrap type="square"/>
          </v:rect>
        </w:pict>
      </w:r>
    </w:p>
    <w:p w14:paraId="0FA7B9ED" w14:textId="77777777" w:rsidR="00C4421E" w:rsidRDefault="00BC529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14:paraId="30947664" w14:textId="77777777" w:rsidR="00C4421E" w:rsidRDefault="00BC529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4A8EA422" w14:textId="77777777" w:rsidR="00C4421E" w:rsidRDefault="00BC5298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>Верхнелюбажского сельсовета</w:t>
      </w:r>
    </w:p>
    <w:p w14:paraId="5D3B82F8" w14:textId="77777777" w:rsidR="00C4421E" w:rsidRDefault="00BC5298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Фатежского района</w:t>
      </w:r>
    </w:p>
    <w:p w14:paraId="4F1C3D08" w14:textId="77777777" w:rsidR="00C4421E" w:rsidRDefault="00BC5298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08.09.20года № 45В «Об </w:t>
      </w:r>
      <w:r>
        <w:rPr>
          <w:rFonts w:ascii="Times New Roman" w:hAnsi="Times New Roman" w:cs="Times New Roman"/>
          <w:sz w:val="24"/>
          <w:szCs w:val="24"/>
        </w:rPr>
        <w:t>утверждении методики  прогнозирования</w:t>
      </w:r>
    </w:p>
    <w:p w14:paraId="095E4D0D" w14:textId="77777777" w:rsidR="00C4421E" w:rsidRDefault="00BC52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и не налоговых доходов</w:t>
      </w:r>
    </w:p>
    <w:p w14:paraId="01BEA9D8" w14:textId="77777777" w:rsidR="00C4421E" w:rsidRDefault="00BC52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14:paraId="0A8666D7" w14:textId="77777777" w:rsidR="00C4421E" w:rsidRDefault="00BC52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«Верхнелюбажский сельсовет» Фатежского</w:t>
      </w:r>
    </w:p>
    <w:p w14:paraId="6123EF64" w14:textId="77777777" w:rsidR="00C4421E" w:rsidRDefault="00BC52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Курской области для построения </w:t>
      </w:r>
    </w:p>
    <w:p w14:paraId="3AA3C362" w14:textId="77777777" w:rsidR="00C4421E" w:rsidRDefault="00BC52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межбюджетных отношений между бюджетом</w:t>
      </w:r>
    </w:p>
    <w:p w14:paraId="378B5F05" w14:textId="77777777" w:rsidR="00C4421E" w:rsidRDefault="00BC52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«Верхнелюбажский</w:t>
      </w:r>
    </w:p>
    <w:p w14:paraId="78C9032D" w14:textId="77777777" w:rsidR="00C4421E" w:rsidRDefault="00BC52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сельсовет», областным бюджетом и бюджетом</w:t>
      </w:r>
    </w:p>
    <w:p w14:paraId="528BD6AC" w14:textId="77777777" w:rsidR="00C4421E" w:rsidRDefault="00BC52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«Фатежский район» </w:t>
      </w:r>
    </w:p>
    <w:p w14:paraId="59B7721A" w14:textId="77777777" w:rsidR="00C4421E" w:rsidRDefault="00BC5298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Курской области на 2021 - 2023 годы»</w:t>
      </w:r>
    </w:p>
    <w:p w14:paraId="6DA145AE" w14:textId="77777777" w:rsidR="00C4421E" w:rsidRDefault="00C4421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EFB162D" w14:textId="77777777" w:rsidR="00C4421E" w:rsidRDefault="00C4421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14:paraId="618EA0D3" w14:textId="77777777" w:rsidR="00C4421E" w:rsidRDefault="00BC529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14:paraId="37BCAEBF" w14:textId="77777777" w:rsidR="00C4421E" w:rsidRDefault="00BC5298">
      <w:pPr>
        <w:shd w:val="clear" w:color="auto" w:fill="FFFFFF"/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прогнозирования налоговых и неналоговых доходов  бюджета муниципального образования «Верхнелюбажский сельсовет» Фатежского района Курской области для построения межбюджетных отношений между областным бюджетом и бюджетом муниципального района «Фате</w:t>
      </w:r>
      <w:r>
        <w:rPr>
          <w:rFonts w:ascii="Times New Roman" w:hAnsi="Times New Roman"/>
          <w:b/>
          <w:sz w:val="28"/>
          <w:szCs w:val="28"/>
        </w:rPr>
        <w:t>жский район» Курской области на 2021 – 2023 годы</w:t>
      </w:r>
    </w:p>
    <w:p w14:paraId="5C88A509" w14:textId="77777777" w:rsidR="00C4421E" w:rsidRDefault="00BC5298">
      <w:pPr>
        <w:shd w:val="clear" w:color="auto" w:fill="FFFFFF"/>
        <w:spacing w:after="0" w:line="240" w:lineRule="auto"/>
        <w:ind w:right="-1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Доходная база бюджета Верхнелюбажского сельсовета Фатежского района Курской области на  2021 - 2023 годы формируется исходя из действующего на момент составления бюджет налогового и бюджетного законодательст</w:t>
      </w:r>
      <w:r>
        <w:rPr>
          <w:rFonts w:ascii="Times New Roman" w:hAnsi="Times New Roman"/>
          <w:color w:val="000000"/>
          <w:sz w:val="28"/>
          <w:szCs w:val="28"/>
        </w:rPr>
        <w:t>ва и макроэкономических параметров функционирования реального сектора экономики поселения.</w:t>
      </w:r>
    </w:p>
    <w:p w14:paraId="01302756" w14:textId="77777777" w:rsidR="00C4421E" w:rsidRDefault="00BC5298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поселения (налогооблагаемая база, индексы промышленного и сельскох</w:t>
      </w:r>
      <w:r>
        <w:rPr>
          <w:rFonts w:ascii="Times New Roman" w:hAnsi="Times New Roman"/>
          <w:color w:val="000000"/>
          <w:sz w:val="28"/>
          <w:szCs w:val="28"/>
        </w:rPr>
        <w:t>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 «Верхнелюб</w:t>
      </w:r>
      <w:r>
        <w:rPr>
          <w:rFonts w:ascii="Times New Roman" w:hAnsi="Times New Roman"/>
          <w:color w:val="000000"/>
          <w:sz w:val="28"/>
          <w:szCs w:val="28"/>
        </w:rPr>
        <w:t xml:space="preserve">ажский сельсовет». </w:t>
      </w:r>
    </w:p>
    <w:p w14:paraId="2F61B249" w14:textId="77777777" w:rsidR="00C4421E" w:rsidRDefault="00BC5298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52015C28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8"/>
          <w:szCs w:val="28"/>
        </w:rPr>
        <w:t>(код 1 01 02000 01 0000 110)</w:t>
      </w:r>
    </w:p>
    <w:p w14:paraId="1939545F" w14:textId="77777777" w:rsidR="00C4421E" w:rsidRDefault="00BC5298">
      <w:pPr>
        <w:pStyle w:val="ConsPlusNormal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</w:rPr>
          <w:t>статьями 227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227.1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228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02010 01 0000 110)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14:paraId="4766769C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Первый вариант – сумма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14:paraId="40E11E0E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налога в 2020 году рассчитывается исходя из фактических поступлений сумм налога</w:t>
      </w:r>
      <w:r>
        <w:rPr>
          <w:rFonts w:ascii="Times New Roman" w:hAnsi="Times New Roman"/>
          <w:color w:val="000000"/>
          <w:sz w:val="28"/>
          <w:szCs w:val="28"/>
        </w:rPr>
        <w:t xml:space="preserve"> за 6 месяцев 2020 года и среднего удельного веса поступлений за соответствующие периоды 2017, 2018 и 2019 годов в фактических годовых поступлениях. </w:t>
      </w:r>
    </w:p>
    <w:p w14:paraId="174AE1B2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</w:t>
      </w:r>
      <w:r>
        <w:rPr>
          <w:rFonts w:ascii="Times New Roman" w:hAnsi="Times New Roman"/>
          <w:color w:val="000000"/>
          <w:sz w:val="28"/>
          <w:szCs w:val="28"/>
        </w:rPr>
        <w:t>номике и развитию Курской области на 2021 год, и ставки налога в размере 13 %.</w:t>
      </w:r>
    </w:p>
    <w:p w14:paraId="2EC11EA4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Прогнозируемая сумма поступления налога на 2022-2023 годы также рассчитывается по двум вариантам и принимается средний из них.</w:t>
      </w:r>
    </w:p>
    <w:p w14:paraId="41C13D2A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Первый вариант - сумма налога на 2022-2023 годы оп</w:t>
      </w:r>
      <w:r>
        <w:rPr>
          <w:rFonts w:ascii="Times New Roman" w:hAnsi="Times New Roman"/>
          <w:color w:val="000000"/>
          <w:sz w:val="28"/>
          <w:szCs w:val="28"/>
        </w:rPr>
        <w:t>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2022-2023 годы.</w:t>
      </w:r>
    </w:p>
    <w:p w14:paraId="2D5447F4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Второй вариант - сумма налога на 2022-2023 годы определяется исходя из</w:t>
      </w:r>
      <w:r>
        <w:rPr>
          <w:rFonts w:ascii="Times New Roman" w:hAnsi="Times New Roman"/>
          <w:color w:val="000000"/>
          <w:sz w:val="28"/>
          <w:szCs w:val="28"/>
        </w:rPr>
        <w:t xml:space="preserve"> фонда заработной платы, планируемого комитетом по экономике и развитию Курской области на 2022-2023 годы, и ставки налога в размере 13 %.</w:t>
      </w:r>
    </w:p>
    <w:p w14:paraId="1559315D" w14:textId="77777777" w:rsidR="00C4421E" w:rsidRDefault="00BC5298">
      <w:pPr>
        <w:ind w:right="-1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/>
          <w:sz w:val="28"/>
          <w:szCs w:val="28"/>
        </w:rPr>
        <w:t>с доходов, полученных от осуществления деятельности физическими лицами, зарегистрирова</w:t>
      </w:r>
      <w:r>
        <w:rPr>
          <w:rFonts w:ascii="Times New Roman" w:hAnsi="Times New Roman"/>
          <w:sz w:val="28"/>
          <w:szCs w:val="28"/>
        </w:rPr>
        <w:t xml:space="preserve">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>
        <w:r>
          <w:rPr>
            <w:rStyle w:val="-"/>
            <w:rFonts w:ascii="Times New Roman" w:hAnsi="Times New Roman"/>
            <w:sz w:val="28"/>
            <w:szCs w:val="28"/>
          </w:rPr>
          <w:t>статьей 227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(код 1 01 02020 01 0000 110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рассчитывается исходя из ожидаемого поступления налога в 2020 году, скорректированного на ежегодные темпы роста (снижения) фонда заработной платы в 2021-2023 годах. </w:t>
      </w:r>
    </w:p>
    <w:p w14:paraId="19C76879" w14:textId="77777777" w:rsidR="00C4421E" w:rsidRDefault="00BC5298">
      <w:pPr>
        <w:pStyle w:val="ConsPlusNormal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2020 году рассчитывается исходя из среднего фактического по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ступления сумм налога в 2018 и 2019 годах.</w:t>
      </w:r>
    </w:p>
    <w:p w14:paraId="11FF9977" w14:textId="77777777" w:rsidR="00C4421E" w:rsidRDefault="00C4421E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AF23DA" w14:textId="77777777" w:rsidR="00C4421E" w:rsidRDefault="00BC5298">
      <w:pPr>
        <w:shd w:val="clear" w:color="auto" w:fill="FFFFFF"/>
        <w:ind w:right="-1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налога на доходы физических лиц </w:t>
      </w:r>
      <w:r>
        <w:rPr>
          <w:rFonts w:ascii="Times New Roman" w:hAnsi="Times New Roman"/>
          <w:sz w:val="28"/>
          <w:szCs w:val="28"/>
        </w:rPr>
        <w:t xml:space="preserve">с доходов, полученных физическими лицами в соответствии со </w:t>
      </w:r>
      <w:hyperlink r:id="rId9">
        <w:r>
          <w:rPr>
            <w:rStyle w:val="-"/>
            <w:rFonts w:ascii="Times New Roman" w:hAnsi="Times New Roman"/>
            <w:sz w:val="28"/>
            <w:szCs w:val="28"/>
          </w:rPr>
          <w:t>статьей 228</w:t>
        </w:r>
      </w:hyperlink>
      <w:r>
        <w:rPr>
          <w:rFonts w:ascii="Times New Roman" w:hAnsi="Times New Roman"/>
          <w:sz w:val="28"/>
          <w:szCs w:val="28"/>
        </w:rPr>
        <w:t xml:space="preserve"> Налогового </w:t>
      </w:r>
      <w:r>
        <w:rPr>
          <w:rFonts w:ascii="Times New Roman" w:hAnsi="Times New Roman"/>
          <w:sz w:val="28"/>
          <w:szCs w:val="28"/>
        </w:rPr>
        <w:lastRenderedPageBreak/>
        <w:t xml:space="preserve">кодекса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(код 1 01 02030 01 0000 110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 2021-2023 годах определяется на уровне ож</w:t>
      </w:r>
      <w:r>
        <w:rPr>
          <w:rFonts w:ascii="Times New Roman" w:hAnsi="Times New Roman"/>
          <w:color w:val="000000"/>
          <w:sz w:val="28"/>
          <w:szCs w:val="28"/>
        </w:rPr>
        <w:t>идаемого поступления налога в 2020 году.</w:t>
      </w:r>
    </w:p>
    <w:p w14:paraId="7AFF2FD1" w14:textId="77777777" w:rsidR="00C4421E" w:rsidRDefault="00BC5298">
      <w:pPr>
        <w:pStyle w:val="ConsPlusNormal"/>
        <w:ind w:right="-1"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2020 году определяется на уровне фактического поступления налога в 2019 году.</w:t>
      </w:r>
    </w:p>
    <w:p w14:paraId="2ADA6C06" w14:textId="77777777" w:rsidR="00C4421E" w:rsidRDefault="00C4421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6EE8D7" w14:textId="77777777" w:rsidR="00C4421E" w:rsidRDefault="00BC5298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14:paraId="71E73E98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Нало</w:t>
      </w:r>
      <w:r>
        <w:rPr>
          <w:rFonts w:ascii="Times New Roman" w:hAnsi="Times New Roman"/>
          <w:bCs/>
          <w:color w:val="000000"/>
          <w:sz w:val="28"/>
          <w:szCs w:val="28"/>
        </w:rPr>
        <w:t>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(код 1 01 02040 01 0000 110), </w:t>
      </w:r>
      <w:r>
        <w:rPr>
          <w:rFonts w:ascii="Times New Roman" w:hAnsi="Times New Roman"/>
          <w:color w:val="000000"/>
          <w:sz w:val="28"/>
          <w:szCs w:val="28"/>
        </w:rPr>
        <w:t>рассчитывается исходя из ожидаемого поступления налога в 2020 году, скорректированного на сводные индексы потребительских цен (все товары и платные услуги), прогнозируемые в целом по Курской облас</w:t>
      </w:r>
      <w:r>
        <w:rPr>
          <w:rFonts w:ascii="Times New Roman" w:hAnsi="Times New Roman"/>
          <w:color w:val="000000"/>
          <w:sz w:val="28"/>
          <w:szCs w:val="28"/>
        </w:rPr>
        <w:t>ти на 2021-2023 годы.</w:t>
      </w:r>
    </w:p>
    <w:p w14:paraId="4F5939CA" w14:textId="77777777" w:rsidR="00C4421E" w:rsidRDefault="00BC5298">
      <w:pPr>
        <w:pStyle w:val="ConsNormal"/>
        <w:widowControl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2020 году рассчитывается исходя из фактических поступлений сумм налога за 2019 год, скорректированных на сводный индекс потребительских цен (все товары и платные услуги), прогнозируемый в целом по Курско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на 2020 год.</w:t>
      </w:r>
    </w:p>
    <w:p w14:paraId="2D0ADBDE" w14:textId="77777777" w:rsidR="00C4421E" w:rsidRDefault="00C4421E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A19331" w14:textId="77777777" w:rsidR="00C4421E" w:rsidRDefault="00BC5298">
      <w:pPr>
        <w:pStyle w:val="1"/>
        <w:ind w:right="-1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Единый сельскохозяйственный налог (код 1 05 03010 01 0000 110)</w:t>
      </w:r>
    </w:p>
    <w:p w14:paraId="1598737A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Прогноз поступлений налога в 2021-2023 годах </w:t>
      </w:r>
      <w:r>
        <w:rPr>
          <w:rFonts w:ascii="Times New Roman" w:hAnsi="Times New Roman"/>
          <w:color w:val="000000"/>
          <w:sz w:val="28"/>
          <w:szCs w:val="28"/>
        </w:rPr>
        <w:t xml:space="preserve">рассчитывается исходя из ожидаемого поступления налога в 2020 году, скорректированного на ежегодные </w:t>
      </w:r>
      <w:r>
        <w:rPr>
          <w:rFonts w:ascii="Times New Roman" w:hAnsi="Times New Roman"/>
          <w:color w:val="000000"/>
          <w:sz w:val="28"/>
          <w:szCs w:val="28"/>
        </w:rPr>
        <w:t>индексы-дефляторы цен сельскохозяйственной продукции, прогнозируемые на 2021-2023 годы.</w:t>
      </w:r>
    </w:p>
    <w:p w14:paraId="1492DD66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</w:t>
      </w:r>
      <w:r>
        <w:rPr>
          <w:rFonts w:ascii="Times New Roman" w:hAnsi="Times New Roman"/>
          <w:color w:val="000000"/>
          <w:sz w:val="28"/>
          <w:szCs w:val="28"/>
        </w:rPr>
        <w:t>ющий период 2019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</w:t>
      </w:r>
      <w:r>
        <w:rPr>
          <w:rFonts w:ascii="Times New Roman" w:hAnsi="Times New Roman"/>
          <w:color w:val="000000"/>
          <w:sz w:val="28"/>
          <w:szCs w:val="28"/>
        </w:rPr>
        <w:t>мается удельный вес равный 100 процентам и средний по области соответственно.</w:t>
      </w:r>
    </w:p>
    <w:p w14:paraId="61444FDE" w14:textId="77777777" w:rsidR="00C4421E" w:rsidRDefault="00BC5298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14:paraId="14B8F23C" w14:textId="77777777" w:rsidR="00C4421E" w:rsidRDefault="00BC5298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отсутствии у поселения индексов цен сельскохоз</w:t>
      </w:r>
      <w:r>
        <w:rPr>
          <w:rFonts w:ascii="Times New Roman" w:hAnsi="Times New Roman"/>
          <w:color w:val="000000"/>
          <w:sz w:val="28"/>
          <w:szCs w:val="28"/>
        </w:rPr>
        <w:t>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14:paraId="1631A192" w14:textId="77777777" w:rsidR="00C4421E" w:rsidRDefault="00BC529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14:paraId="0910133E" w14:textId="77777777" w:rsidR="00C4421E" w:rsidRDefault="00BC5298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имущество физических лиц (код 1 06 01000 00 0000 110)</w:t>
      </w:r>
    </w:p>
    <w:p w14:paraId="48BEE3A6" w14:textId="77777777" w:rsidR="00C4421E" w:rsidRDefault="00BC5298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налога на 2021-2023 годы рассчитывается исходя из ожидаемого поступления налога в 2020 году.</w:t>
      </w:r>
    </w:p>
    <w:p w14:paraId="5E304500" w14:textId="77777777" w:rsidR="00C4421E" w:rsidRDefault="00BC5298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Ожидаемое поступление в 2020 году определяется на уровне фактического поступления налога </w:t>
      </w:r>
      <w:r>
        <w:rPr>
          <w:rFonts w:ascii="Times New Roman" w:hAnsi="Times New Roman"/>
          <w:color w:val="000000"/>
          <w:sz w:val="28"/>
          <w:szCs w:val="28"/>
        </w:rPr>
        <w:t>в 2019 году.</w:t>
      </w:r>
    </w:p>
    <w:p w14:paraId="7CD3E7D7" w14:textId="77777777" w:rsidR="00C4421E" w:rsidRDefault="00C4421E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color w:val="000000"/>
          <w:sz w:val="28"/>
          <w:szCs w:val="28"/>
        </w:rPr>
      </w:pPr>
    </w:p>
    <w:p w14:paraId="687210F3" w14:textId="77777777" w:rsidR="00C4421E" w:rsidRDefault="00BC5298">
      <w:pPr>
        <w:shd w:val="clear" w:color="auto" w:fill="FFFFFF"/>
        <w:spacing w:after="0" w:line="240" w:lineRule="auto"/>
        <w:ind w:right="-1" w:firstLine="851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Земельный налог (код 1 06 06000 00 0000 110)</w:t>
      </w:r>
    </w:p>
    <w:p w14:paraId="7B011F34" w14:textId="77777777" w:rsidR="00C4421E" w:rsidRDefault="00BC5298">
      <w:pPr>
        <w:shd w:val="clear" w:color="auto" w:fill="FFFFFF"/>
        <w:spacing w:after="0" w:line="240" w:lineRule="auto"/>
        <w:ind w:right="-1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земельного налога на 2021-2023 годы определяется на уровне ожидаемого поступления налога в 2020 году.</w:t>
      </w:r>
    </w:p>
    <w:p w14:paraId="7517016D" w14:textId="77777777" w:rsidR="00C4421E" w:rsidRDefault="00BC5298">
      <w:pPr>
        <w:shd w:val="clear" w:color="auto" w:fill="FFFFFF"/>
        <w:spacing w:after="0" w:line="240" w:lineRule="auto"/>
        <w:ind w:right="-1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Ожидаемое поступление налога в 2020 году рассчитывается исходя из среднего </w:t>
      </w:r>
      <w:r>
        <w:rPr>
          <w:rFonts w:ascii="Times New Roman" w:hAnsi="Times New Roman"/>
          <w:color w:val="000000"/>
          <w:sz w:val="28"/>
          <w:szCs w:val="28"/>
        </w:rPr>
        <w:t>значения фактических поступлений сумм налога в 2018 и 2019 годах.</w:t>
      </w:r>
    </w:p>
    <w:p w14:paraId="0E9EB666" w14:textId="77777777" w:rsidR="00C4421E" w:rsidRDefault="00C4421E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C82E02" w14:textId="77777777" w:rsidR="00C4421E" w:rsidRDefault="00BC529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05024 04 0000 120; 1 11 05025 05 0000 120; 1 11 05025 10 0000 120; 1 11 05025 13 0000 120)</w:t>
      </w:r>
    </w:p>
    <w:p w14:paraId="0F9A0375" w14:textId="77777777" w:rsidR="00C4421E" w:rsidRDefault="00BC5298">
      <w:pPr>
        <w:shd w:val="clear" w:color="auto" w:fill="FFFFFF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Поступление арендной платы за земли на 2021-2023 годы прогнозируется </w:t>
      </w:r>
      <w:r>
        <w:rPr>
          <w:rFonts w:ascii="Times New Roman" w:hAnsi="Times New Roman"/>
          <w:color w:val="000000"/>
          <w:sz w:val="28"/>
          <w:szCs w:val="28"/>
        </w:rPr>
        <w:t>на уровне ожидаемого поступления доходов в 2020 году.</w:t>
      </w:r>
    </w:p>
    <w:p w14:paraId="22835561" w14:textId="77777777" w:rsidR="00C4421E" w:rsidRDefault="00BC529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14:paraId="236F34B8" w14:textId="77777777" w:rsidR="00C4421E" w:rsidRDefault="00C4421E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14:paraId="7C463F72" w14:textId="77777777" w:rsidR="00C4421E" w:rsidRDefault="00BC5298">
      <w:pPr>
        <w:shd w:val="clear" w:color="auto" w:fill="FFFFFF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оказания платных услуг и компенсации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затрат государства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(код 1 13 00000 00 0000 000)</w:t>
      </w:r>
    </w:p>
    <w:p w14:paraId="2DFCF8FE" w14:textId="77777777" w:rsidR="00C4421E" w:rsidRDefault="00BC529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sz w:val="28"/>
          <w:szCs w:val="28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(код 1 13 01020 01 0000 130); пл</w:t>
      </w:r>
      <w:r>
        <w:rPr>
          <w:rFonts w:ascii="Times New Roman" w:eastAsia="Calibri" w:hAnsi="Times New Roman"/>
          <w:sz w:val="28"/>
          <w:szCs w:val="28"/>
        </w:rPr>
        <w:t>ата за предоставление сведений из Единого государственного реестра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(код 1 13 01031 01 0000 130); п</w:t>
      </w:r>
      <w:r>
        <w:rPr>
          <w:rFonts w:ascii="Times New Roman" w:eastAsia="Calibri" w:hAnsi="Times New Roman"/>
          <w:sz w:val="28"/>
          <w:szCs w:val="28"/>
        </w:rPr>
        <w:t xml:space="preserve">лата за предоставление информации из реестра дисквалифицированных лиц </w:t>
      </w:r>
      <w:r>
        <w:rPr>
          <w:rFonts w:ascii="Times New Roman" w:hAnsi="Times New Roman"/>
          <w:sz w:val="28"/>
          <w:szCs w:val="28"/>
        </w:rPr>
        <w:t xml:space="preserve">(код </w:t>
      </w:r>
      <w:r>
        <w:rPr>
          <w:rFonts w:ascii="Times New Roman" w:eastAsia="Calibri" w:hAnsi="Times New Roman"/>
          <w:sz w:val="28"/>
          <w:szCs w:val="28"/>
        </w:rPr>
        <w:t xml:space="preserve">1 13 01190 01 0000 130); </w:t>
      </w:r>
      <w:r>
        <w:rPr>
          <w:rFonts w:ascii="Times New Roman" w:hAnsi="Times New Roman"/>
          <w:color w:val="000000"/>
          <w:sz w:val="28"/>
          <w:szCs w:val="28"/>
        </w:rPr>
        <w:t>плата за предоставление государственными орга</w:t>
      </w:r>
      <w:r>
        <w:rPr>
          <w:rFonts w:ascii="Times New Roman" w:hAnsi="Times New Roman"/>
          <w:color w:val="000000"/>
          <w:sz w:val="28"/>
          <w:szCs w:val="28"/>
        </w:rPr>
        <w:t xml:space="preserve">нами субъектов Российской Федерации, казенными учреждениями субъектов Российской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1 13 0</w:t>
      </w:r>
      <w:r>
        <w:rPr>
          <w:rFonts w:ascii="Times New Roman" w:hAnsi="Times New Roman"/>
          <w:color w:val="000000"/>
          <w:sz w:val="28"/>
          <w:szCs w:val="28"/>
        </w:rPr>
        <w:t>1410 01 0000 130); прочие доходы от оказания платных услуг (работ) получателями средств бюджетов субъектов Российской Федерации (код 1 13 01992 02 0000 130); доходы, поступающие в порядке возмещения расходов, понесенных в связи с эксплуатацией имущества су</w:t>
      </w:r>
      <w:r>
        <w:rPr>
          <w:rFonts w:ascii="Times New Roman" w:hAnsi="Times New Roman"/>
          <w:color w:val="000000"/>
          <w:sz w:val="28"/>
          <w:szCs w:val="28"/>
        </w:rPr>
        <w:t xml:space="preserve">бъектов Российской Федерации (код 1 13 02062 02 0000 130); прочие доходы от компенсации затрат бюджетов субъектов Российской Федерации (код 1 13 02992 02 0000 130) на 2021-2023 годы планируются на основании расчетных данных главных администраторов доходов </w:t>
      </w:r>
      <w:r>
        <w:rPr>
          <w:rFonts w:ascii="Times New Roman" w:hAnsi="Times New Roman"/>
          <w:color w:val="000000"/>
          <w:sz w:val="28"/>
          <w:szCs w:val="28"/>
        </w:rPr>
        <w:t>областного бюджета.</w:t>
      </w:r>
    </w:p>
    <w:p w14:paraId="5CE8F66C" w14:textId="77777777" w:rsidR="00C4421E" w:rsidRDefault="00BC5298">
      <w:pPr>
        <w:shd w:val="clear" w:color="auto" w:fill="FFFFFF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Поступление доходов от оказания платных услуг и компенсации затрат государства </w:t>
      </w:r>
      <w:r>
        <w:rPr>
          <w:rFonts w:ascii="Times New Roman" w:hAnsi="Times New Roman"/>
          <w:color w:val="000000"/>
          <w:sz w:val="28"/>
          <w:szCs w:val="28"/>
        </w:rPr>
        <w:t xml:space="preserve">(код 1 13 00000 00 0000 000)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местные бюджеты </w:t>
      </w:r>
      <w:r>
        <w:rPr>
          <w:rFonts w:ascii="Times New Roman" w:hAnsi="Times New Roman"/>
          <w:color w:val="000000"/>
          <w:sz w:val="28"/>
          <w:szCs w:val="28"/>
        </w:rPr>
        <w:t>на 2021-2023 годы прогнозируется на уровне ожидаемого поступления доходов в 2020 году.</w:t>
      </w:r>
    </w:p>
    <w:p w14:paraId="70427861" w14:textId="77777777" w:rsidR="00C4421E" w:rsidRDefault="00BC529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 году рассчитывается исходя из фактического поступления доходов во 2 полугодии 2019 года и в 1 полугодии 2020 года.</w:t>
      </w:r>
    </w:p>
    <w:p w14:paraId="411117B3" w14:textId="77777777" w:rsidR="00C4421E" w:rsidRDefault="00C4421E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color w:val="CE181E"/>
          <w:sz w:val="28"/>
          <w:szCs w:val="28"/>
        </w:rPr>
      </w:pPr>
    </w:p>
    <w:p w14:paraId="47C70E9C" w14:textId="77777777" w:rsidR="00C4421E" w:rsidRDefault="00C442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A8855AE" w14:textId="77777777" w:rsidR="00C4421E" w:rsidRDefault="00BC529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Прочие неналоговые доходы</w:t>
      </w:r>
      <w:r>
        <w:rPr>
          <w:rFonts w:ascii="Times New Roman" w:hAnsi="Times New Roman"/>
          <w:color w:val="000000"/>
          <w:sz w:val="28"/>
          <w:szCs w:val="28"/>
        </w:rPr>
        <w:t>(код 1 17 05000 00 0000 180)</w:t>
      </w:r>
    </w:p>
    <w:p w14:paraId="1B4BDA57" w14:textId="77777777" w:rsidR="00C4421E" w:rsidRDefault="00BC5298">
      <w:pPr>
        <w:spacing w:after="0" w:line="240" w:lineRule="auto"/>
        <w:ind w:firstLine="54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Поступление прочих неналоговых доходов в муниципальный бюджет в 2021 - 2023 </w:t>
      </w:r>
      <w:r>
        <w:rPr>
          <w:rFonts w:ascii="Times New Roman" w:hAnsi="Times New Roman"/>
          <w:bCs/>
          <w:sz w:val="28"/>
          <w:szCs w:val="28"/>
        </w:rPr>
        <w:t>годах планируется на основании расчетных данных главных администраторов доходов  бюджета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804052F" w14:textId="77777777" w:rsidR="00C4421E" w:rsidRDefault="00BC5298">
      <w:pPr>
        <w:spacing w:after="0" w:line="240" w:lineRule="auto"/>
        <w:ind w:firstLine="540"/>
        <w:jc w:val="both"/>
      </w:pPr>
      <w:r>
        <w:rPr>
          <w:rFonts w:ascii="Times New Roman" w:hAnsi="Times New Roman"/>
          <w:bCs/>
          <w:sz w:val="28"/>
          <w:szCs w:val="28"/>
        </w:rPr>
        <w:t>Поступление прочих неналоговых доходов в местные бюджеты на 2021 - 2023 годы прогнозируется на уровне ожидаемого поступления доходов в 2020 году.</w:t>
      </w:r>
    </w:p>
    <w:p w14:paraId="5D47C426" w14:textId="77777777" w:rsidR="00C4421E" w:rsidRDefault="00BC5298">
      <w:pPr>
        <w:spacing w:after="0" w:line="240" w:lineRule="auto"/>
        <w:ind w:firstLine="540"/>
        <w:jc w:val="both"/>
      </w:pPr>
      <w:r>
        <w:rPr>
          <w:rFonts w:ascii="Times New Roman" w:hAnsi="Times New Roman"/>
          <w:bCs/>
          <w:sz w:val="28"/>
          <w:szCs w:val="28"/>
        </w:rPr>
        <w:t>Ожидаемое поступлени</w:t>
      </w:r>
      <w:r>
        <w:rPr>
          <w:rFonts w:ascii="Times New Roman" w:hAnsi="Times New Roman"/>
          <w:bCs/>
          <w:sz w:val="28"/>
          <w:szCs w:val="28"/>
        </w:rPr>
        <w:t>е в 2020 году рассчитывается исходя из среднего значения фактических поступлений прочих неналоговых доходов в 2018 и 2019 годах.</w:t>
      </w:r>
    </w:p>
    <w:p w14:paraId="253CCB1C" w14:textId="77777777" w:rsidR="00C4421E" w:rsidRDefault="00BC529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Безвозмездные поступления от других бюджетов бюджетной системы Российской Федерации (2 02 00000 00 0000 000)</w:t>
      </w:r>
    </w:p>
    <w:p w14:paraId="2848BAD4" w14:textId="77777777" w:rsidR="00C4421E" w:rsidRDefault="00BC5298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По данному </w:t>
      </w:r>
      <w:r>
        <w:rPr>
          <w:rFonts w:ascii="Times New Roman" w:hAnsi="Times New Roman"/>
          <w:sz w:val="28"/>
          <w:szCs w:val="28"/>
        </w:rPr>
        <w:t xml:space="preserve">коду доходов планируется финансовая помощь из средств районного, областного и федерального бюджетов в виде сумм дотаций, субвенций, субсидий, межбюджетных трансфертов в пределах средств, предусмотренных в районном, областном и федеральном бюджетах на 2021 </w:t>
      </w:r>
      <w:r>
        <w:rPr>
          <w:rFonts w:ascii="Times New Roman" w:hAnsi="Times New Roman"/>
          <w:sz w:val="28"/>
          <w:szCs w:val="28"/>
        </w:rPr>
        <w:t>год и плановый период 2022-2023 годы.</w:t>
      </w:r>
    </w:p>
    <w:p w14:paraId="09341FB3" w14:textId="77777777" w:rsidR="00C4421E" w:rsidRDefault="00C442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FB0D0D9" w14:textId="77777777" w:rsidR="00C4421E" w:rsidRDefault="00C442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D48DEDD" w14:textId="77777777" w:rsidR="00C4421E" w:rsidRDefault="00C4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9A8971" w14:textId="77777777" w:rsidR="00C4421E" w:rsidRDefault="00BC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Н.В. Алехина</w:t>
      </w:r>
    </w:p>
    <w:sectPr w:rsidR="00C4421E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defaultTabStop w:val="708"/>
  <w:characterSpacingControl w:val="doNotCompress"/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21E"/>
    <w:rsid w:val="00BC5298"/>
    <w:rsid w:val="00C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849755"/>
  <w15:docId w15:val="{B719C9AC-F439-4294-A6FE-9A1FE692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6D33FA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6D33FA"/>
    <w:rPr>
      <w:color w:val="000080"/>
      <w:u w:val="single"/>
    </w:rPr>
  </w:style>
  <w:style w:type="character" w:customStyle="1" w:styleId="ListLabel2">
    <w:name w:val="ListLabel 2"/>
    <w:qFormat/>
    <w:rsid w:val="006D33FA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D33FA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6D33FA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D33FA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6D33FA"/>
    <w:rPr>
      <w:rFonts w:ascii="Times New Roman" w:hAnsi="Times New Roman"/>
      <w:sz w:val="28"/>
      <w:szCs w:val="28"/>
    </w:rPr>
  </w:style>
  <w:style w:type="character" w:customStyle="1" w:styleId="ListLabel7">
    <w:name w:val="ListLabel 7"/>
    <w:qFormat/>
    <w:rsid w:val="006D33FA"/>
    <w:rPr>
      <w:rFonts w:ascii="Times New Roman" w:hAnsi="Times New Roman" w:cs="Times New Roman"/>
      <w:sz w:val="28"/>
      <w:szCs w:val="28"/>
    </w:rPr>
  </w:style>
  <w:style w:type="character" w:customStyle="1" w:styleId="ListLabel8">
    <w:name w:val="ListLabel 8"/>
    <w:qFormat/>
    <w:rsid w:val="006D33FA"/>
    <w:rPr>
      <w:rFonts w:ascii="Times New Roman" w:hAnsi="Times New Roman"/>
      <w:sz w:val="28"/>
      <w:szCs w:val="28"/>
    </w:rPr>
  </w:style>
  <w:style w:type="character" w:customStyle="1" w:styleId="ListLabel9">
    <w:name w:val="ListLabel 9"/>
    <w:qFormat/>
    <w:rsid w:val="006D33FA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6D33FA"/>
    <w:rPr>
      <w:rFonts w:ascii="Times New Roman" w:hAnsi="Times New Roman"/>
      <w:sz w:val="28"/>
      <w:szCs w:val="28"/>
    </w:rPr>
  </w:style>
  <w:style w:type="character" w:customStyle="1" w:styleId="ListLabel11">
    <w:name w:val="ListLabel 11"/>
    <w:qFormat/>
    <w:rsid w:val="006D33FA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6D33FA"/>
    <w:rPr>
      <w:rFonts w:ascii="Times New Roman" w:hAnsi="Times New Roman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/>
      <w:sz w:val="28"/>
      <w:szCs w:val="28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</w:rPr>
  </w:style>
  <w:style w:type="character" w:customStyle="1" w:styleId="ListLabel20">
    <w:name w:val="ListLabel 20"/>
    <w:qFormat/>
    <w:rPr>
      <w:rFonts w:ascii="Times New Roman" w:hAnsi="Times New Roman"/>
      <w:sz w:val="28"/>
      <w:szCs w:val="28"/>
    </w:rPr>
  </w:style>
  <w:style w:type="paragraph" w:customStyle="1" w:styleId="1">
    <w:name w:val="Заголовок1"/>
    <w:basedOn w:val="a"/>
    <w:next w:val="a4"/>
    <w:qFormat/>
    <w:rsid w:val="006D33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D33FA"/>
    <w:pPr>
      <w:spacing w:after="140"/>
    </w:pPr>
  </w:style>
  <w:style w:type="paragraph" w:styleId="a5">
    <w:name w:val="List"/>
    <w:basedOn w:val="a4"/>
    <w:rsid w:val="006D33FA"/>
    <w:rPr>
      <w:rFonts w:cs="Lucida Sans"/>
    </w:rPr>
  </w:style>
  <w:style w:type="paragraph" w:customStyle="1" w:styleId="10">
    <w:name w:val="Название объекта1"/>
    <w:basedOn w:val="a"/>
    <w:qFormat/>
    <w:rsid w:val="006D33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6D33F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7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8">
    <w:name w:val="Содержимое врезки"/>
    <w:basedOn w:val="a"/>
    <w:qFormat/>
    <w:rsid w:val="006D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1931</Words>
  <Characters>11007</Characters>
  <Application>Microsoft Office Word</Application>
  <DocSecurity>0</DocSecurity>
  <Lines>91</Lines>
  <Paragraphs>25</Paragraphs>
  <ScaleCrop>false</ScaleCrop>
  <Company>Grizli777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KONSTANTINE</cp:lastModifiedBy>
  <cp:revision>17</cp:revision>
  <cp:lastPrinted>2020-11-16T15:53:00Z</cp:lastPrinted>
  <dcterms:created xsi:type="dcterms:W3CDTF">2019-09-03T11:28:00Z</dcterms:created>
  <dcterms:modified xsi:type="dcterms:W3CDTF">2023-06-05T09:26:00Z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